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82" w:rsidRPr="0097485B" w:rsidRDefault="00234182" w:rsidP="00234182">
      <w:pPr>
        <w:spacing w:line="460" w:lineRule="exact"/>
        <w:rPr>
          <w:rFonts w:asciiTheme="minorEastAsia" w:eastAsiaTheme="minorEastAsia" w:hAnsiTheme="minorEastAsia"/>
          <w:sz w:val="32"/>
        </w:rPr>
      </w:pPr>
      <w:bookmarkStart w:id="0" w:name="_GoBack"/>
      <w:bookmarkEnd w:id="0"/>
    </w:p>
    <w:p w:rsidR="00234182" w:rsidRPr="0097485B" w:rsidRDefault="00234182" w:rsidP="00234182">
      <w:pPr>
        <w:spacing w:line="460" w:lineRule="exact"/>
        <w:rPr>
          <w:rFonts w:asciiTheme="minorEastAsia" w:eastAsiaTheme="minorEastAsia" w:hAnsiTheme="minorEastAsia"/>
          <w:sz w:val="16"/>
        </w:rPr>
      </w:pPr>
    </w:p>
    <w:p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rsidR="00234182" w:rsidRDefault="00234182" w:rsidP="0067451E">
      <w:pPr>
        <w:spacing w:line="400" w:lineRule="exact"/>
        <w:rPr>
          <w:rFonts w:asciiTheme="minorEastAsia" w:eastAsiaTheme="minorEastAsia" w:hAnsiTheme="minorEastAsia"/>
          <w:szCs w:val="22"/>
        </w:rPr>
      </w:pPr>
    </w:p>
    <w:p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rsidR="009A790E" w:rsidRPr="0097485B" w:rsidRDefault="00D07D37"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621F7F">
        <w:rPr>
          <w:rFonts w:asciiTheme="minorEastAsia" w:eastAsiaTheme="minorEastAsia" w:hAnsiTheme="minorEastAsia"/>
          <w:szCs w:val="22"/>
        </w:rPr>
        <w:br/>
      </w:r>
      <w:r w:rsidR="00606B56">
        <w:rPr>
          <w:rFonts w:asciiTheme="minorEastAsia" w:eastAsiaTheme="minorEastAsia" w:hAnsiTheme="minorEastAsia" w:hint="eastAsia"/>
          <w:szCs w:val="22"/>
        </w:rPr>
        <w:t>令和３年</w:t>
      </w:r>
      <w:r w:rsidRPr="0097485B">
        <w:rPr>
          <w:rFonts w:asciiTheme="minorEastAsia" w:eastAsiaTheme="minorEastAsia" w:hAnsiTheme="minorEastAsia" w:hint="eastAsia"/>
          <w:szCs w:val="22"/>
        </w:rPr>
        <w:t>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rsidR="00C176AF" w:rsidRPr="0097485B" w:rsidRDefault="00116B57" w:rsidP="00991FBD">
      <w:pPr>
        <w:spacing w:line="400" w:lineRule="exact"/>
        <w:ind w:leftChars="100" w:left="227" w:firstLineChars="100" w:firstLine="227"/>
        <w:jc w:val="both"/>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rsidR="00C176AF" w:rsidRPr="0097485B" w:rsidRDefault="00C176AF" w:rsidP="008E630D">
      <w:pPr>
        <w:rPr>
          <w:rFonts w:asciiTheme="minorEastAsia" w:eastAsiaTheme="minorEastAsia" w:hAnsiTheme="minorEastAsia"/>
          <w:szCs w:val="22"/>
        </w:rPr>
      </w:pPr>
    </w:p>
    <w:p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C13695">
        <w:rPr>
          <w:rFonts w:asciiTheme="minorEastAsia" w:eastAsiaTheme="minorEastAsia" w:hAnsiTheme="minorEastAsia" w:hint="eastAsia"/>
          <w:szCs w:val="22"/>
        </w:rPr>
        <w:t>4</w:t>
      </w:r>
      <w:r w:rsidR="00606B56">
        <w:rPr>
          <w:rFonts w:asciiTheme="minorEastAsia" w:eastAsiaTheme="minorEastAsia" w:hAnsiTheme="minorEastAsia" w:hint="eastAsia"/>
          <w:szCs w:val="22"/>
        </w:rPr>
        <w:t>61</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606B56">
        <w:rPr>
          <w:rFonts w:asciiTheme="minorEastAsia" w:eastAsiaTheme="minorEastAsia" w:hAnsiTheme="minorEastAsia" w:hint="eastAsia"/>
          <w:szCs w:val="22"/>
        </w:rPr>
        <w:t>71</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C13695">
        <w:rPr>
          <w:rFonts w:asciiTheme="minorEastAsia" w:eastAsiaTheme="minorEastAsia" w:hAnsiTheme="minorEastAsia" w:hint="eastAsia"/>
          <w:szCs w:val="22"/>
        </w:rPr>
        <w:t>8</w:t>
      </w:r>
      <w:r w:rsidR="00606B56">
        <w:rPr>
          <w:rFonts w:asciiTheme="minorEastAsia" w:eastAsiaTheme="minorEastAsia" w:hAnsiTheme="minorEastAsia" w:hint="eastAsia"/>
          <w:szCs w:val="22"/>
        </w:rPr>
        <w:t>0.5</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4769EE">
        <w:rPr>
          <w:rFonts w:asciiTheme="minorEastAsia" w:eastAsiaTheme="minorEastAsia" w:hAnsiTheme="minorEastAsia" w:hint="eastAsia"/>
          <w:szCs w:val="22"/>
        </w:rPr>
        <w:t>4</w:t>
      </w:r>
      <w:r w:rsidR="004769EE">
        <w:rPr>
          <w:rFonts w:asciiTheme="minorEastAsia" w:eastAsiaTheme="minorEastAsia" w:hAnsiTheme="minorEastAsia"/>
          <w:szCs w:val="22"/>
        </w:rPr>
        <w:t>10</w:t>
      </w:r>
      <w:r w:rsidR="009622A8" w:rsidRPr="00035630">
        <w:rPr>
          <w:rFonts w:asciiTheme="minorEastAsia" w:eastAsiaTheme="minorEastAsia" w:hAnsiTheme="minorEastAsia" w:hint="eastAsia"/>
          <w:szCs w:val="22"/>
        </w:rPr>
        <w:t>園</w:t>
      </w:r>
    </w:p>
    <w:p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7383BB16" wp14:editId="1FAD33B4">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035630">
        <w:rPr>
          <w:rFonts w:asciiTheme="minorEastAsia" w:eastAsiaTheme="minorEastAsia" w:hAnsiTheme="minorEastAsia" w:hint="eastAsia"/>
          <w:szCs w:val="22"/>
        </w:rPr>
        <w:t>3</w:t>
      </w:r>
      <w:r w:rsidR="00606B56">
        <w:rPr>
          <w:rFonts w:asciiTheme="minorEastAsia" w:eastAsiaTheme="minorEastAsia" w:hAnsiTheme="minorEastAsia" w:hint="eastAsia"/>
          <w:szCs w:val="22"/>
        </w:rPr>
        <w:t>80</w:t>
      </w:r>
      <w:r w:rsidR="00173FA7" w:rsidRPr="0097485B">
        <w:rPr>
          <w:rFonts w:asciiTheme="minorEastAsia" w:eastAsiaTheme="minorEastAsia" w:hAnsiTheme="minorEastAsia" w:hint="eastAsia"/>
          <w:szCs w:val="22"/>
        </w:rPr>
        <w:t>園</w:t>
      </w:r>
    </w:p>
    <w:p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606B56">
        <w:rPr>
          <w:rFonts w:asciiTheme="minorEastAsia" w:eastAsiaTheme="minorEastAsia" w:hAnsiTheme="minorEastAsia" w:hint="eastAsia"/>
          <w:szCs w:val="22"/>
        </w:rPr>
        <w:t>30</w:t>
      </w:r>
      <w:r w:rsidR="00173FA7" w:rsidRPr="0097485B">
        <w:rPr>
          <w:rFonts w:asciiTheme="minorEastAsia" w:eastAsiaTheme="minorEastAsia" w:hAnsiTheme="minorEastAsia" w:hint="eastAsia"/>
          <w:szCs w:val="22"/>
        </w:rPr>
        <w:t>園</w:t>
      </w:r>
    </w:p>
    <w:p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606B56">
        <w:rPr>
          <w:rFonts w:asciiTheme="minorEastAsia" w:eastAsiaTheme="minorEastAsia" w:hAnsiTheme="minorEastAsia" w:hint="eastAsia"/>
          <w:szCs w:val="22"/>
        </w:rPr>
        <w:t>30</w:t>
      </w:r>
      <w:r w:rsidRPr="0097485B">
        <w:rPr>
          <w:rFonts w:asciiTheme="minorEastAsia" w:eastAsiaTheme="minorEastAsia" w:hAnsiTheme="minorEastAsia" w:hint="eastAsia"/>
          <w:szCs w:val="22"/>
        </w:rPr>
        <w:t>園において調査完了）</w:t>
      </w:r>
    </w:p>
    <w:p w:rsidR="00DD2BFD" w:rsidRPr="0097485B" w:rsidRDefault="00DD2BFD" w:rsidP="00DD2BFD">
      <w:pPr>
        <w:spacing w:line="400" w:lineRule="exact"/>
        <w:rPr>
          <w:rFonts w:asciiTheme="minorEastAsia" w:eastAsiaTheme="minorEastAsia" w:hAnsiTheme="minorEastAsia"/>
          <w:szCs w:val="22"/>
        </w:rPr>
      </w:pPr>
    </w:p>
    <w:p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606B56">
        <w:rPr>
          <w:rFonts w:asciiTheme="minorEastAsia" w:eastAsiaTheme="minorEastAsia" w:hAnsiTheme="minorEastAsia" w:hint="eastAsia"/>
          <w:szCs w:val="22"/>
        </w:rPr>
        <w:t>51</w:t>
      </w:r>
      <w:r w:rsidR="00173FA7" w:rsidRPr="00035630">
        <w:rPr>
          <w:rFonts w:asciiTheme="minorEastAsia" w:eastAsiaTheme="minorEastAsia" w:hAnsiTheme="minorEastAsia" w:hint="eastAsia"/>
          <w:szCs w:val="22"/>
        </w:rPr>
        <w:t>園</w:t>
      </w:r>
    </w:p>
    <w:p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606B56">
        <w:rPr>
          <w:rFonts w:asciiTheme="minorEastAsia" w:eastAsiaTheme="minorEastAsia" w:hAnsiTheme="minorEastAsia" w:hint="eastAsia"/>
          <w:szCs w:val="22"/>
        </w:rPr>
        <w:t>41</w:t>
      </w:r>
      <w:r w:rsidRPr="0097485B">
        <w:rPr>
          <w:rFonts w:asciiTheme="minorEastAsia" w:eastAsiaTheme="minorEastAsia" w:hAnsiTheme="minorEastAsia" w:hint="eastAsia"/>
          <w:szCs w:val="22"/>
        </w:rPr>
        <w:t>園において調査完了）</w:t>
      </w:r>
    </w:p>
    <w:p w:rsidR="00310674" w:rsidRPr="0097485B" w:rsidRDefault="00310674" w:rsidP="00991FBD">
      <w:pPr>
        <w:spacing w:line="400" w:lineRule="exact"/>
        <w:ind w:leftChars="400" w:left="1114"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w:t>
      </w:r>
      <w:r w:rsidR="00621F7F">
        <w:rPr>
          <w:rFonts w:asciiTheme="minorEastAsia" w:eastAsiaTheme="minorEastAsia" w:hAnsiTheme="minorEastAsia"/>
          <w:sz w:val="22"/>
          <w:szCs w:val="22"/>
        </w:rPr>
        <w:br/>
      </w:r>
      <w:r w:rsidRPr="0097485B">
        <w:rPr>
          <w:rFonts w:asciiTheme="minorEastAsia" w:eastAsiaTheme="minorEastAsia" w:hAnsiTheme="minorEastAsia" w:hint="eastAsia"/>
          <w:sz w:val="22"/>
          <w:szCs w:val="22"/>
        </w:rPr>
        <w:t>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rsidR="009368CF" w:rsidRPr="0097485B" w:rsidRDefault="009368CF" w:rsidP="009368CF">
      <w:pPr>
        <w:spacing w:line="400" w:lineRule="exact"/>
        <w:ind w:firstLineChars="100" w:firstLine="207"/>
        <w:rPr>
          <w:rFonts w:asciiTheme="minorEastAsia" w:eastAsiaTheme="minorEastAsia" w:hAnsiTheme="minorEastAsia"/>
          <w:sz w:val="22"/>
          <w:szCs w:val="22"/>
        </w:rPr>
      </w:pPr>
    </w:p>
    <w:p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rsidR="00277252" w:rsidRPr="0097485B" w:rsidRDefault="00277252" w:rsidP="0067451E">
      <w:pPr>
        <w:spacing w:line="400" w:lineRule="exact"/>
        <w:rPr>
          <w:rFonts w:asciiTheme="minorEastAsia" w:eastAsiaTheme="minorEastAsia" w:hAnsiTheme="minorEastAsia"/>
          <w:szCs w:val="22"/>
        </w:rPr>
      </w:pPr>
    </w:p>
    <w:p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rsidR="00075A29" w:rsidRPr="0097485B" w:rsidRDefault="00382F66"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rsidR="00AF478E" w:rsidRDefault="003D67C1"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BF0909">
        <w:rPr>
          <w:rFonts w:asciiTheme="minorEastAsia" w:eastAsiaTheme="minorEastAsia" w:hAnsiTheme="minorEastAsia" w:hint="eastAsia"/>
          <w:szCs w:val="22"/>
        </w:rPr>
        <w:t>4,</w:t>
      </w:r>
      <w:r w:rsidR="00606B56">
        <w:rPr>
          <w:rFonts w:asciiTheme="minorEastAsia" w:eastAsiaTheme="minorEastAsia" w:hAnsiTheme="minorEastAsia"/>
          <w:szCs w:val="22"/>
        </w:rPr>
        <w:t>742</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BF0909">
        <w:rPr>
          <w:rFonts w:asciiTheme="minorEastAsia" w:eastAsiaTheme="minorEastAsia" w:hAnsiTheme="minorEastAsia" w:hint="eastAsia"/>
          <w:szCs w:val="22"/>
        </w:rPr>
        <w:t>1</w:t>
      </w:r>
      <w:r w:rsidR="00606B56">
        <w:rPr>
          <w:rFonts w:asciiTheme="minorEastAsia" w:eastAsiaTheme="minorEastAsia" w:hAnsiTheme="minorEastAsia"/>
          <w:szCs w:val="22"/>
        </w:rPr>
        <w:t>25</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p>
    <w:p w:rsidR="005A4413" w:rsidRPr="0097485B" w:rsidRDefault="00AF478E" w:rsidP="00991FBD">
      <w:pPr>
        <w:spacing w:line="400" w:lineRule="exact"/>
        <w:ind w:leftChars="100" w:left="227" w:firstLineChars="100" w:firstLine="227"/>
        <w:jc w:val="both"/>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r w:rsidR="001D68C0" w:rsidRPr="0097485B">
        <w:rPr>
          <w:rFonts w:asciiTheme="minorEastAsia" w:eastAsiaTheme="minorEastAsia" w:hAnsiTheme="minorEastAsia"/>
          <w:szCs w:val="22"/>
        </w:rPr>
        <w:br w:type="page"/>
      </w:r>
    </w:p>
    <w:p w:rsidR="00981AD7" w:rsidRPr="0097485B" w:rsidRDefault="00981AD7" w:rsidP="00981AD7">
      <w:pPr>
        <w:spacing w:line="460" w:lineRule="exact"/>
        <w:rPr>
          <w:rFonts w:asciiTheme="minorEastAsia" w:eastAsiaTheme="minorEastAsia" w:hAnsiTheme="minorEastAsia"/>
          <w:sz w:val="32"/>
        </w:rPr>
      </w:pPr>
    </w:p>
    <w:p w:rsidR="00981AD7" w:rsidRPr="0097485B" w:rsidRDefault="00981AD7" w:rsidP="00981AD7">
      <w:pPr>
        <w:spacing w:line="460" w:lineRule="exact"/>
        <w:rPr>
          <w:rFonts w:asciiTheme="minorEastAsia" w:eastAsiaTheme="minorEastAsia" w:hAnsiTheme="minorEastAsia"/>
          <w:sz w:val="16"/>
        </w:rPr>
      </w:pPr>
    </w:p>
    <w:p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rsidR="00AB5DBB" w:rsidRPr="0097485B" w:rsidRDefault="00AB5DBB" w:rsidP="00EC1AE7">
      <w:pPr>
        <w:spacing w:line="400" w:lineRule="exact"/>
        <w:rPr>
          <w:rFonts w:asciiTheme="minorEastAsia" w:eastAsiaTheme="minorEastAsia" w:hAnsiTheme="minorEastAsia"/>
          <w:szCs w:val="22"/>
        </w:rPr>
      </w:pPr>
    </w:p>
    <w:p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rsidR="00075A29" w:rsidRPr="0097485B" w:rsidRDefault="00075A29"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606B56">
        <w:rPr>
          <w:rFonts w:asciiTheme="minorEastAsia" w:eastAsiaTheme="minorEastAsia" w:hAnsiTheme="minorEastAsia" w:hint="eastAsia"/>
          <w:szCs w:val="22"/>
        </w:rPr>
        <w:t>令和３年</w:t>
      </w:r>
      <w:r w:rsidR="00AB5DBB" w:rsidRPr="0097485B">
        <w:rPr>
          <w:rFonts w:asciiTheme="minorEastAsia" w:eastAsiaTheme="minorEastAsia" w:hAnsiTheme="minorEastAsia" w:hint="eastAsia"/>
          <w:szCs w:val="22"/>
        </w:rPr>
        <w:t>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rsidR="007429EB" w:rsidRPr="0097485B" w:rsidRDefault="00C176AF"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847479" w:rsidRPr="0097485B">
        <w:rPr>
          <w:rFonts w:asciiTheme="minorEastAsia" w:eastAsiaTheme="minorEastAsia" w:hAnsiTheme="minorEastAsia" w:hint="eastAsia"/>
          <w:szCs w:val="22"/>
        </w:rPr>
        <w:t>大阪市私立幼稚園連合会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rsidR="003D67C1" w:rsidRPr="0097485B" w:rsidRDefault="003D67C1" w:rsidP="006066A2">
      <w:pPr>
        <w:spacing w:line="400" w:lineRule="exact"/>
        <w:ind w:left="227" w:hangingChars="100" w:hanging="227"/>
        <w:rPr>
          <w:rFonts w:asciiTheme="minorEastAsia" w:eastAsiaTheme="minorEastAsia" w:hAnsiTheme="minorEastAsia"/>
          <w:szCs w:val="22"/>
        </w:rPr>
      </w:pPr>
    </w:p>
    <w:p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BF0909">
        <w:rPr>
          <w:rFonts w:asciiTheme="minorEastAsia" w:eastAsiaTheme="minorEastAsia" w:hAnsiTheme="minorEastAsia" w:hint="eastAsia"/>
          <w:szCs w:val="22"/>
        </w:rPr>
        <w:t>1</w:t>
      </w:r>
      <w:r w:rsidR="00A43EAF">
        <w:rPr>
          <w:rFonts w:asciiTheme="minorEastAsia" w:eastAsiaTheme="minorEastAsia" w:hAnsiTheme="minorEastAsia"/>
          <w:szCs w:val="22"/>
        </w:rPr>
        <w:t>28</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BF0909">
        <w:rPr>
          <w:rFonts w:asciiTheme="minorEastAsia" w:eastAsiaTheme="minorEastAsia" w:hAnsiTheme="minorEastAsia" w:hint="eastAsia"/>
          <w:szCs w:val="22"/>
        </w:rPr>
        <w:t>10</w:t>
      </w:r>
      <w:r w:rsidR="00A43EAF">
        <w:rPr>
          <w:rFonts w:asciiTheme="minorEastAsia" w:eastAsiaTheme="minorEastAsia" w:hAnsiTheme="minorEastAsia"/>
          <w:szCs w:val="22"/>
        </w:rPr>
        <w:t>5</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BF0909">
        <w:rPr>
          <w:rFonts w:asciiTheme="minorEastAsia" w:eastAsiaTheme="minorEastAsia" w:hAnsiTheme="minorEastAsia" w:hint="eastAsia"/>
          <w:szCs w:val="22"/>
        </w:rPr>
        <w:t>82.</w:t>
      </w:r>
      <w:r w:rsidR="00A43EAF">
        <w:rPr>
          <w:rFonts w:asciiTheme="minorEastAsia" w:eastAsiaTheme="minorEastAsia" w:hAnsiTheme="minorEastAsia"/>
          <w:szCs w:val="22"/>
        </w:rPr>
        <w:t>0</w:t>
      </w:r>
      <w:r w:rsidRPr="0097485B">
        <w:rPr>
          <w:rFonts w:asciiTheme="minorEastAsia" w:eastAsiaTheme="minorEastAsia" w:hAnsiTheme="minorEastAsia" w:hint="eastAsia"/>
          <w:szCs w:val="22"/>
        </w:rPr>
        <w:t>％））</w:t>
      </w:r>
    </w:p>
    <w:p w:rsidR="007F38D6" w:rsidRPr="0097485B" w:rsidRDefault="007F38D6" w:rsidP="006066A2">
      <w:pPr>
        <w:spacing w:line="400" w:lineRule="exact"/>
        <w:ind w:firstLineChars="100" w:firstLine="227"/>
        <w:rPr>
          <w:rFonts w:asciiTheme="minorEastAsia" w:eastAsiaTheme="minorEastAsia" w:hAnsiTheme="minorEastAsia"/>
          <w:szCs w:val="22"/>
        </w:rPr>
      </w:pPr>
    </w:p>
    <w:p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BF0909">
        <w:rPr>
          <w:rFonts w:asciiTheme="minorEastAsia" w:eastAsiaTheme="minorEastAsia" w:hAnsiTheme="minorEastAsia" w:hint="eastAsia"/>
          <w:szCs w:val="22"/>
        </w:rPr>
        <w:t>8</w:t>
      </w:r>
      <w:r w:rsidR="006A45EA">
        <w:rPr>
          <w:rFonts w:asciiTheme="minorEastAsia" w:eastAsiaTheme="minorEastAsia" w:hAnsiTheme="minorEastAsia"/>
          <w:szCs w:val="22"/>
        </w:rPr>
        <w:t>4</w:t>
      </w:r>
      <w:r w:rsidR="00173FA7" w:rsidRPr="00035630">
        <w:rPr>
          <w:rFonts w:asciiTheme="minorEastAsia" w:eastAsiaTheme="minorEastAsia" w:hAnsiTheme="minorEastAsia" w:hint="eastAsia"/>
          <w:szCs w:val="22"/>
        </w:rPr>
        <w:t>園</w:t>
      </w:r>
    </w:p>
    <w:p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6A45EA">
        <w:rPr>
          <w:rFonts w:asciiTheme="minorEastAsia" w:eastAsiaTheme="minorEastAsia" w:hAnsiTheme="minorEastAsia" w:hint="eastAsia"/>
          <w:szCs w:val="22"/>
        </w:rPr>
        <w:t>6</w:t>
      </w:r>
      <w:r w:rsidR="006A45EA">
        <w:rPr>
          <w:rFonts w:asciiTheme="minorEastAsia" w:eastAsiaTheme="minorEastAsia" w:hAnsiTheme="minorEastAsia"/>
          <w:szCs w:val="22"/>
        </w:rPr>
        <w:t>9</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rsidR="00E667FD" w:rsidRPr="007E7ED8" w:rsidRDefault="00E667FD" w:rsidP="00E667FD">
      <w:pPr>
        <w:spacing w:line="400" w:lineRule="exact"/>
        <w:rPr>
          <w:rFonts w:asciiTheme="minorEastAsia" w:eastAsiaTheme="minorEastAsia" w:hAnsiTheme="minorEastAsia"/>
          <w:szCs w:val="22"/>
        </w:rPr>
      </w:pPr>
    </w:p>
    <w:p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6A45EA">
        <w:rPr>
          <w:rFonts w:asciiTheme="minorEastAsia" w:eastAsiaTheme="minorEastAsia" w:hAnsiTheme="minorEastAsia" w:hint="eastAsia"/>
          <w:szCs w:val="22"/>
        </w:rPr>
        <w:t>4</w:t>
      </w:r>
      <w:r w:rsidR="006A45EA">
        <w:rPr>
          <w:rFonts w:asciiTheme="minorEastAsia" w:eastAsiaTheme="minorEastAsia" w:hAnsiTheme="minorEastAsia"/>
          <w:szCs w:val="22"/>
        </w:rPr>
        <w:t>4</w:t>
      </w:r>
      <w:r w:rsidR="009622A8" w:rsidRPr="00035630">
        <w:rPr>
          <w:rFonts w:asciiTheme="minorEastAsia" w:eastAsiaTheme="minorEastAsia" w:hAnsiTheme="minorEastAsia" w:hint="eastAsia"/>
          <w:szCs w:val="22"/>
        </w:rPr>
        <w:t>園</w:t>
      </w:r>
    </w:p>
    <w:p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6A45EA">
        <w:rPr>
          <w:rFonts w:asciiTheme="minorEastAsia" w:eastAsiaTheme="minorEastAsia" w:hAnsiTheme="minorEastAsia" w:hint="eastAsia"/>
          <w:szCs w:val="22"/>
        </w:rPr>
        <w:t>3</w:t>
      </w:r>
      <w:r w:rsidR="006A45EA">
        <w:rPr>
          <w:rFonts w:asciiTheme="minorEastAsia" w:eastAsiaTheme="minorEastAsia" w:hAnsiTheme="minorEastAsia"/>
          <w:szCs w:val="22"/>
        </w:rPr>
        <w:t>6</w:t>
      </w:r>
      <w:r w:rsidRPr="0097485B">
        <w:rPr>
          <w:rFonts w:asciiTheme="minorEastAsia" w:eastAsiaTheme="minorEastAsia" w:hAnsiTheme="minorEastAsia" w:hint="eastAsia"/>
          <w:szCs w:val="22"/>
        </w:rPr>
        <w:t>園において調査完了）</w:t>
      </w:r>
    </w:p>
    <w:p w:rsidR="009163F9" w:rsidRPr="0097485B" w:rsidRDefault="00310674" w:rsidP="00991FBD">
      <w:pPr>
        <w:spacing w:line="400" w:lineRule="exact"/>
        <w:ind w:leftChars="500" w:left="1341"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rsidR="00864BD4" w:rsidRPr="0097485B" w:rsidRDefault="00864BD4" w:rsidP="00EC1AE7">
      <w:pPr>
        <w:spacing w:line="400" w:lineRule="exact"/>
        <w:ind w:left="720"/>
        <w:rPr>
          <w:rFonts w:asciiTheme="minorEastAsia" w:eastAsiaTheme="minorEastAsia" w:hAnsiTheme="minorEastAsia"/>
          <w:szCs w:val="22"/>
        </w:rPr>
      </w:pPr>
    </w:p>
    <w:p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rsidR="00075A29" w:rsidRPr="0097485B" w:rsidRDefault="00075A29" w:rsidP="00C158D9">
      <w:pPr>
        <w:spacing w:line="400" w:lineRule="exact"/>
        <w:rPr>
          <w:rFonts w:asciiTheme="minorEastAsia" w:eastAsiaTheme="minorEastAsia" w:hAnsiTheme="minorEastAsia"/>
          <w:szCs w:val="22"/>
        </w:rPr>
      </w:pPr>
    </w:p>
    <w:p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rsidR="003D67C1" w:rsidRPr="0097485B" w:rsidRDefault="00122F31" w:rsidP="00991FB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392746">
        <w:rPr>
          <w:rFonts w:asciiTheme="minorEastAsia" w:eastAsiaTheme="minorEastAsia" w:hAnsiTheme="minorEastAsia" w:hint="eastAsia"/>
          <w:szCs w:val="22"/>
        </w:rPr>
        <w:t>1,</w:t>
      </w:r>
      <w:r w:rsidR="003A071C">
        <w:rPr>
          <w:rFonts w:asciiTheme="minorEastAsia" w:eastAsiaTheme="minorEastAsia" w:hAnsiTheme="minorEastAsia"/>
          <w:szCs w:val="22"/>
        </w:rPr>
        <w:t>318</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BF0909">
        <w:rPr>
          <w:rFonts w:asciiTheme="minorEastAsia" w:eastAsiaTheme="minorEastAsia" w:hAnsiTheme="minorEastAsia" w:hint="eastAsia"/>
          <w:szCs w:val="22"/>
        </w:rPr>
        <w:t>4</w:t>
      </w:r>
      <w:r w:rsidR="003A071C">
        <w:rPr>
          <w:rFonts w:asciiTheme="minorEastAsia" w:eastAsiaTheme="minorEastAsia" w:hAnsiTheme="minorEastAsia"/>
          <w:szCs w:val="22"/>
        </w:rPr>
        <w:t>7</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rsidR="0097485B" w:rsidRPr="007E7ED8" w:rsidRDefault="00AF478E">
      <w:pPr>
        <w:spacing w:line="400" w:lineRule="exact"/>
        <w:ind w:leftChars="100" w:left="227" w:firstLineChars="100" w:firstLine="227"/>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p>
    <w:sectPr w:rsidR="0097485B" w:rsidRPr="007E7ED8" w:rsidSect="00AF478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715" w:gutter="0"/>
      <w:pgNumType w:start="75"/>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A4" w:rsidRDefault="001015A4" w:rsidP="002C2AD3">
      <w:r>
        <w:separator/>
      </w:r>
    </w:p>
  </w:endnote>
  <w:endnote w:type="continuationSeparator" w:id="0">
    <w:p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50" w:rsidRDefault="000F14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0715"/>
      <w:docPartObj>
        <w:docPartGallery w:val="Page Numbers (Bottom of Page)"/>
        <w:docPartUnique/>
      </w:docPartObj>
    </w:sdtPr>
    <w:sdtEndPr>
      <w:rPr>
        <w:rFonts w:asciiTheme="minorEastAsia" w:hAnsiTheme="minorEastAsia"/>
        <w:sz w:val="18"/>
        <w:szCs w:val="18"/>
      </w:rPr>
    </w:sdtEndPr>
    <w:sdtContent>
      <w:p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234182" w:rsidRPr="00234182">
          <w:rPr>
            <w:rFonts w:asciiTheme="minorEastAsia" w:hAnsiTheme="minorEastAsia"/>
            <w:noProof/>
            <w:sz w:val="18"/>
            <w:szCs w:val="18"/>
            <w:lang w:val="ja-JP"/>
          </w:rPr>
          <w:t>75</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50" w:rsidRDefault="000F1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A4" w:rsidRDefault="001015A4" w:rsidP="002C2AD3">
      <w:r>
        <w:separator/>
      </w:r>
    </w:p>
  </w:footnote>
  <w:footnote w:type="continuationSeparator" w:id="0">
    <w:p w:rsidR="001015A4" w:rsidRDefault="001015A4" w:rsidP="002C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50" w:rsidRDefault="000F14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50" w:rsidRDefault="000F14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50" w:rsidRDefault="000F14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0F1450"/>
    <w:rsid w:val="00100BEF"/>
    <w:rsid w:val="001015A4"/>
    <w:rsid w:val="00101E6B"/>
    <w:rsid w:val="001078BD"/>
    <w:rsid w:val="00113C90"/>
    <w:rsid w:val="00116B57"/>
    <w:rsid w:val="00122F31"/>
    <w:rsid w:val="0013073D"/>
    <w:rsid w:val="001366C7"/>
    <w:rsid w:val="001414C2"/>
    <w:rsid w:val="00141E81"/>
    <w:rsid w:val="00150FE6"/>
    <w:rsid w:val="001610A3"/>
    <w:rsid w:val="001632A9"/>
    <w:rsid w:val="00166028"/>
    <w:rsid w:val="00173FA7"/>
    <w:rsid w:val="00191EAE"/>
    <w:rsid w:val="001A51B1"/>
    <w:rsid w:val="001B5588"/>
    <w:rsid w:val="001D0BA9"/>
    <w:rsid w:val="001D68C0"/>
    <w:rsid w:val="001F681B"/>
    <w:rsid w:val="00200280"/>
    <w:rsid w:val="002116C0"/>
    <w:rsid w:val="00215FCC"/>
    <w:rsid w:val="00224E08"/>
    <w:rsid w:val="00234182"/>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A071C"/>
    <w:rsid w:val="003B6CDC"/>
    <w:rsid w:val="003D28F2"/>
    <w:rsid w:val="003D67C1"/>
    <w:rsid w:val="003E5B7E"/>
    <w:rsid w:val="00414F36"/>
    <w:rsid w:val="00423835"/>
    <w:rsid w:val="00427DB2"/>
    <w:rsid w:val="00432866"/>
    <w:rsid w:val="00434AFD"/>
    <w:rsid w:val="00437B0C"/>
    <w:rsid w:val="004523D0"/>
    <w:rsid w:val="0045440B"/>
    <w:rsid w:val="00455FB2"/>
    <w:rsid w:val="00462032"/>
    <w:rsid w:val="004769EE"/>
    <w:rsid w:val="0048200C"/>
    <w:rsid w:val="00487295"/>
    <w:rsid w:val="00490032"/>
    <w:rsid w:val="004A0B1B"/>
    <w:rsid w:val="004A1597"/>
    <w:rsid w:val="004D4B22"/>
    <w:rsid w:val="004E15FB"/>
    <w:rsid w:val="00525CE6"/>
    <w:rsid w:val="0055263C"/>
    <w:rsid w:val="00556F97"/>
    <w:rsid w:val="00563CB1"/>
    <w:rsid w:val="005A4413"/>
    <w:rsid w:val="005D5805"/>
    <w:rsid w:val="005D6F46"/>
    <w:rsid w:val="005E35F6"/>
    <w:rsid w:val="006066A2"/>
    <w:rsid w:val="00606B56"/>
    <w:rsid w:val="00621512"/>
    <w:rsid w:val="00621888"/>
    <w:rsid w:val="00621F7F"/>
    <w:rsid w:val="0062272F"/>
    <w:rsid w:val="006335B1"/>
    <w:rsid w:val="00662FA8"/>
    <w:rsid w:val="0067451E"/>
    <w:rsid w:val="006A193B"/>
    <w:rsid w:val="006A45EA"/>
    <w:rsid w:val="006C1424"/>
    <w:rsid w:val="006E6948"/>
    <w:rsid w:val="006F15F2"/>
    <w:rsid w:val="007149A4"/>
    <w:rsid w:val="00722BE4"/>
    <w:rsid w:val="00724587"/>
    <w:rsid w:val="0072606C"/>
    <w:rsid w:val="007429EB"/>
    <w:rsid w:val="0075240E"/>
    <w:rsid w:val="00767F96"/>
    <w:rsid w:val="007925C3"/>
    <w:rsid w:val="00794D44"/>
    <w:rsid w:val="007A70FA"/>
    <w:rsid w:val="007C2A36"/>
    <w:rsid w:val="007C32E0"/>
    <w:rsid w:val="007E7E03"/>
    <w:rsid w:val="007E7ED8"/>
    <w:rsid w:val="007F38D6"/>
    <w:rsid w:val="007F7FB5"/>
    <w:rsid w:val="00806A9A"/>
    <w:rsid w:val="0080780A"/>
    <w:rsid w:val="00811113"/>
    <w:rsid w:val="00820530"/>
    <w:rsid w:val="00826922"/>
    <w:rsid w:val="00827477"/>
    <w:rsid w:val="00830E55"/>
    <w:rsid w:val="00847479"/>
    <w:rsid w:val="00856024"/>
    <w:rsid w:val="00864BD4"/>
    <w:rsid w:val="00886A4B"/>
    <w:rsid w:val="008948FE"/>
    <w:rsid w:val="008B33DE"/>
    <w:rsid w:val="008D6C46"/>
    <w:rsid w:val="008E40ED"/>
    <w:rsid w:val="008E4ABA"/>
    <w:rsid w:val="008E630D"/>
    <w:rsid w:val="0091018C"/>
    <w:rsid w:val="009163F9"/>
    <w:rsid w:val="00923526"/>
    <w:rsid w:val="00926636"/>
    <w:rsid w:val="009277C6"/>
    <w:rsid w:val="009368CF"/>
    <w:rsid w:val="00951A69"/>
    <w:rsid w:val="00952963"/>
    <w:rsid w:val="0095593B"/>
    <w:rsid w:val="009622A8"/>
    <w:rsid w:val="0097485B"/>
    <w:rsid w:val="00981AD7"/>
    <w:rsid w:val="00983F3B"/>
    <w:rsid w:val="00991FBD"/>
    <w:rsid w:val="009A1AAB"/>
    <w:rsid w:val="009A790E"/>
    <w:rsid w:val="009B429C"/>
    <w:rsid w:val="009B5F6F"/>
    <w:rsid w:val="009C124C"/>
    <w:rsid w:val="009C57E7"/>
    <w:rsid w:val="009D3076"/>
    <w:rsid w:val="009D3D77"/>
    <w:rsid w:val="009D6FEF"/>
    <w:rsid w:val="009F0349"/>
    <w:rsid w:val="009F1B7F"/>
    <w:rsid w:val="009F3478"/>
    <w:rsid w:val="00A1351F"/>
    <w:rsid w:val="00A1585E"/>
    <w:rsid w:val="00A24D50"/>
    <w:rsid w:val="00A32CEE"/>
    <w:rsid w:val="00A33A6E"/>
    <w:rsid w:val="00A33C2D"/>
    <w:rsid w:val="00A43EAF"/>
    <w:rsid w:val="00A553E4"/>
    <w:rsid w:val="00A6703A"/>
    <w:rsid w:val="00A81FC5"/>
    <w:rsid w:val="00AA4897"/>
    <w:rsid w:val="00AB0016"/>
    <w:rsid w:val="00AB5319"/>
    <w:rsid w:val="00AB5DBB"/>
    <w:rsid w:val="00AB640A"/>
    <w:rsid w:val="00AF478E"/>
    <w:rsid w:val="00B0375B"/>
    <w:rsid w:val="00B1083C"/>
    <w:rsid w:val="00B25AD1"/>
    <w:rsid w:val="00B4122B"/>
    <w:rsid w:val="00B648F8"/>
    <w:rsid w:val="00B6542B"/>
    <w:rsid w:val="00B77D4E"/>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D1657"/>
    <w:rsid w:val="00CF1F37"/>
    <w:rsid w:val="00D07D37"/>
    <w:rsid w:val="00D104AD"/>
    <w:rsid w:val="00D15712"/>
    <w:rsid w:val="00D16E10"/>
    <w:rsid w:val="00D201D5"/>
    <w:rsid w:val="00D2182A"/>
    <w:rsid w:val="00D24D00"/>
    <w:rsid w:val="00D33C62"/>
    <w:rsid w:val="00D4116D"/>
    <w:rsid w:val="00D41874"/>
    <w:rsid w:val="00D6707E"/>
    <w:rsid w:val="00D93C5B"/>
    <w:rsid w:val="00D96EA7"/>
    <w:rsid w:val="00D97F71"/>
    <w:rsid w:val="00DA4A6C"/>
    <w:rsid w:val="00DC3DA6"/>
    <w:rsid w:val="00DD2BFD"/>
    <w:rsid w:val="00DE232F"/>
    <w:rsid w:val="00DE388C"/>
    <w:rsid w:val="00DE38F7"/>
    <w:rsid w:val="00DF6365"/>
    <w:rsid w:val="00E01097"/>
    <w:rsid w:val="00E14059"/>
    <w:rsid w:val="00E26AA1"/>
    <w:rsid w:val="00E27711"/>
    <w:rsid w:val="00E44565"/>
    <w:rsid w:val="00E46B23"/>
    <w:rsid w:val="00E5312D"/>
    <w:rsid w:val="00E667FD"/>
    <w:rsid w:val="00E75870"/>
    <w:rsid w:val="00E81DDB"/>
    <w:rsid w:val="00E87153"/>
    <w:rsid w:val="00E87D33"/>
    <w:rsid w:val="00E909DA"/>
    <w:rsid w:val="00EA7996"/>
    <w:rsid w:val="00EB5FFA"/>
    <w:rsid w:val="00EC1AE7"/>
    <w:rsid w:val="00ED119A"/>
    <w:rsid w:val="00ED7CDD"/>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D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26B8-1323-4A6A-BFF3-D22042AA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2021-09-06T05:15:00Z</dcterms:created>
  <dcterms:modified xsi:type="dcterms:W3CDTF">2021-09-09T00:39:00Z</dcterms:modified>
</cp:coreProperties>
</file>