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24FC" w14:textId="64C4D870" w:rsidR="002340F9" w:rsidRPr="00F716B2" w:rsidRDefault="002340F9" w:rsidP="002340F9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（</w:t>
      </w:r>
      <w:r w:rsidR="00F23F6F">
        <w:rPr>
          <w:rFonts w:ascii="ＭＳ 明朝" w:eastAsia="ＭＳ 明朝" w:hAnsi="ＭＳ 明朝" w:hint="eastAsia"/>
          <w:sz w:val="28"/>
          <w:szCs w:val="28"/>
        </w:rPr>
        <w:t>原</w:t>
      </w:r>
      <w:r w:rsidRPr="00F716B2">
        <w:rPr>
          <w:rFonts w:ascii="ＭＳ 明朝" w:eastAsia="ＭＳ 明朝" w:hAnsi="ＭＳ 明朝" w:hint="eastAsia"/>
          <w:sz w:val="28"/>
          <w:szCs w:val="28"/>
        </w:rPr>
        <w:t>案）</w:t>
      </w:r>
    </w:p>
    <w:p w14:paraId="190BCB17" w14:textId="77777777" w:rsidR="002340F9" w:rsidRPr="008338AA" w:rsidRDefault="002340F9" w:rsidP="002340F9">
      <w:pPr>
        <w:jc w:val="center"/>
        <w:rPr>
          <w:rFonts w:ascii="ＭＳ 明朝" w:eastAsia="ＭＳ 明朝" w:hAnsi="ＭＳ 明朝"/>
          <w:sz w:val="28"/>
        </w:rPr>
      </w:pPr>
      <w:r w:rsidRPr="00A46144">
        <w:rPr>
          <w:rFonts w:ascii="ＭＳ 明朝" w:eastAsia="ＭＳ 明朝" w:hAnsi="ＭＳ 明朝" w:hint="eastAsia"/>
          <w:sz w:val="28"/>
        </w:rPr>
        <w:t>計　　画　　書</w:t>
      </w:r>
    </w:p>
    <w:p w14:paraId="6BE11FA1" w14:textId="5A3FC691" w:rsidR="00947EA5" w:rsidRPr="00F716B2" w:rsidRDefault="00947EA5" w:rsidP="00F716B2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大阪都市計画特別用途地区の変更（市決定）</w:t>
      </w:r>
    </w:p>
    <w:p w14:paraId="1BD24EA1" w14:textId="77777777" w:rsidR="00947EA5" w:rsidRDefault="00947EA5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p w14:paraId="096D5CCA" w14:textId="77777777" w:rsidR="00F716B2" w:rsidRDefault="00F716B2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p w14:paraId="23998FA1" w14:textId="77777777" w:rsidR="00F716B2" w:rsidRDefault="00F716B2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p w14:paraId="40D289C7" w14:textId="21745C78" w:rsidR="00947EA5" w:rsidRDefault="00172D5C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都市計画特別用途地区である国際観光地区を次のように変更する。</w:t>
      </w:r>
    </w:p>
    <w:p w14:paraId="656F0A31" w14:textId="77777777" w:rsidR="00172D5C" w:rsidRDefault="00172D5C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4529"/>
      </w:tblGrid>
      <w:tr w:rsidR="00172D5C" w14:paraId="017639B3" w14:textId="77777777" w:rsidTr="001E4B19">
        <w:trPr>
          <w:trHeight w:val="372"/>
        </w:trPr>
        <w:tc>
          <w:tcPr>
            <w:tcW w:w="3397" w:type="dxa"/>
            <w:vAlign w:val="center"/>
          </w:tcPr>
          <w:p w14:paraId="7F3088EA" w14:textId="24DB7C26" w:rsidR="00172D5C" w:rsidRDefault="00172D5C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1134" w:type="dxa"/>
            <w:vAlign w:val="center"/>
          </w:tcPr>
          <w:p w14:paraId="04016655" w14:textId="5FBB4C60" w:rsidR="00172D5C" w:rsidRDefault="00172D5C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4529" w:type="dxa"/>
            <w:vAlign w:val="center"/>
          </w:tcPr>
          <w:p w14:paraId="44BF7EF4" w14:textId="3AE9AF02" w:rsidR="00172D5C" w:rsidRDefault="00172D5C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072BB6" w14:paraId="653416B0" w14:textId="77777777" w:rsidTr="008F0EEA">
        <w:trPr>
          <w:trHeight w:val="3296"/>
        </w:trPr>
        <w:tc>
          <w:tcPr>
            <w:tcW w:w="3397" w:type="dxa"/>
            <w:vAlign w:val="center"/>
          </w:tcPr>
          <w:p w14:paraId="03CBC1CC" w14:textId="77777777" w:rsidR="00072BB6" w:rsidRDefault="00072BB6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特別用途地区</w:t>
            </w:r>
          </w:p>
          <w:p w14:paraId="2F904073" w14:textId="26BFD404" w:rsidR="00072BB6" w:rsidRDefault="00072BB6" w:rsidP="00072BB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（国際観光地区　Ａ地区）</w:t>
            </w:r>
          </w:p>
        </w:tc>
        <w:tc>
          <w:tcPr>
            <w:tcW w:w="1134" w:type="dxa"/>
            <w:vAlign w:val="center"/>
          </w:tcPr>
          <w:p w14:paraId="4C054D00" w14:textId="068BC16C" w:rsidR="00072BB6" w:rsidRDefault="00072BB6" w:rsidP="00F716B2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約68ha</w:t>
            </w:r>
          </w:p>
        </w:tc>
        <w:tc>
          <w:tcPr>
            <w:tcW w:w="4529" w:type="dxa"/>
            <w:vAlign w:val="center"/>
          </w:tcPr>
          <w:p w14:paraId="0267DA73" w14:textId="38528DB9" w:rsidR="00072BB6" w:rsidRDefault="00072BB6" w:rsidP="00F716B2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学校（幼保連携型認定こども園、大学、高等専門学校、専修学校その他これらに類するものを除く。）、個室付浴場業に係る公衆浴場その他</w:t>
            </w:r>
            <w:r w:rsidRPr="00172D5C">
              <w:rPr>
                <w:rFonts w:ascii="ＭＳ 明朝" w:eastAsia="ＭＳ 明朝" w:hAnsi="ＭＳ 明朝"/>
                <w:sz w:val="21"/>
                <w:szCs w:val="21"/>
              </w:rPr>
              <w:t>こ</w:t>
            </w: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れに類するもの</w:t>
            </w:r>
            <w:r w:rsidRPr="00172D5C">
              <w:rPr>
                <w:rFonts w:ascii="ＭＳ 明朝" w:eastAsia="ＭＳ 明朝" w:hAnsi="ＭＳ 明朝"/>
                <w:sz w:val="21"/>
                <w:szCs w:val="21"/>
              </w:rPr>
              <w:t>は建築してはならない。</w:t>
            </w:r>
          </w:p>
        </w:tc>
      </w:tr>
      <w:tr w:rsidR="00072BB6" w14:paraId="31BEF92C" w14:textId="77777777" w:rsidTr="000941FE">
        <w:trPr>
          <w:trHeight w:val="3400"/>
        </w:trPr>
        <w:tc>
          <w:tcPr>
            <w:tcW w:w="3397" w:type="dxa"/>
            <w:vAlign w:val="center"/>
          </w:tcPr>
          <w:p w14:paraId="05F82D24" w14:textId="77777777" w:rsidR="00072BB6" w:rsidRDefault="00072BB6" w:rsidP="00072BB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特別用途地区</w:t>
            </w:r>
          </w:p>
          <w:p w14:paraId="1A573E86" w14:textId="66368398" w:rsidR="00072BB6" w:rsidRDefault="00072BB6" w:rsidP="00072BB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（国際観光地区　Ｂ地区）</w:t>
            </w:r>
          </w:p>
        </w:tc>
        <w:tc>
          <w:tcPr>
            <w:tcW w:w="1134" w:type="dxa"/>
            <w:vAlign w:val="center"/>
          </w:tcPr>
          <w:p w14:paraId="20066A55" w14:textId="0A1F22B2" w:rsidR="00072BB6" w:rsidRDefault="00072BB6" w:rsidP="002340F9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約57ha</w:t>
            </w:r>
          </w:p>
        </w:tc>
        <w:tc>
          <w:tcPr>
            <w:tcW w:w="4529" w:type="dxa"/>
            <w:vAlign w:val="center"/>
          </w:tcPr>
          <w:p w14:paraId="3129F594" w14:textId="793E466E" w:rsidR="00072BB6" w:rsidRPr="00F75D1A" w:rsidRDefault="00072BB6" w:rsidP="002340F9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学校（幼保連携型認定こども園、大学、高等専門学校、専修学校その他これらに類するものを除く。）、個室付浴場業に係る公衆浴場その他</w:t>
            </w:r>
            <w:r w:rsidRPr="00172D5C">
              <w:rPr>
                <w:rFonts w:ascii="ＭＳ 明朝" w:eastAsia="ＭＳ 明朝" w:hAnsi="ＭＳ 明朝"/>
                <w:sz w:val="21"/>
                <w:szCs w:val="21"/>
              </w:rPr>
              <w:t>こ</w:t>
            </w: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れに類するもの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、マージャン屋、ぱちんこ屋、射的場、勝馬投票券発売所、場外車券売場その他これらに類するもの、場内車券売場及び勝舟投票券発売所は建築してはならない。</w:t>
            </w:r>
          </w:p>
        </w:tc>
      </w:tr>
    </w:tbl>
    <w:p w14:paraId="0709D878" w14:textId="45B6C5F6" w:rsidR="00172D5C" w:rsidRDefault="00172D5C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「位置及び区域は</w:t>
      </w:r>
      <w:r w:rsidR="00B63DA1">
        <w:rPr>
          <w:rFonts w:ascii="ＭＳ 明朝" w:eastAsia="ＭＳ 明朝" w:hAnsi="ＭＳ 明朝" w:hint="eastAsia"/>
          <w:sz w:val="21"/>
          <w:szCs w:val="21"/>
        </w:rPr>
        <w:t>説明</w:t>
      </w:r>
      <w:r>
        <w:rPr>
          <w:rFonts w:ascii="ＭＳ 明朝" w:eastAsia="ＭＳ 明朝" w:hAnsi="ＭＳ 明朝" w:hint="eastAsia"/>
          <w:sz w:val="21"/>
          <w:szCs w:val="21"/>
        </w:rPr>
        <w:t>図表示のとおり」</w:t>
      </w:r>
      <w:r w:rsidR="00FD3E5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70408E5" w14:textId="77777777" w:rsidR="0033753F" w:rsidRDefault="0033753F" w:rsidP="004063A7">
      <w:pPr>
        <w:widowControl/>
        <w:rPr>
          <w:rFonts w:ascii="ＭＳ 明朝" w:eastAsia="ＭＳ 明朝" w:hAnsi="ＭＳ 明朝"/>
          <w:sz w:val="21"/>
          <w:szCs w:val="21"/>
        </w:rPr>
        <w:sectPr w:rsidR="0033753F" w:rsidSect="003B351A">
          <w:pgSz w:w="11906" w:h="16838" w:code="9"/>
          <w:pgMar w:top="1418" w:right="1418" w:bottom="964" w:left="1418" w:header="851" w:footer="992" w:gutter="0"/>
          <w:cols w:space="425"/>
          <w:docGrid w:type="lines" w:linePitch="360"/>
        </w:sectPr>
      </w:pPr>
    </w:p>
    <w:p w14:paraId="2E11B557" w14:textId="77777777" w:rsidR="0033753F" w:rsidRPr="0033753F" w:rsidRDefault="0033753F" w:rsidP="0033753F">
      <w:pPr>
        <w:widowControl/>
        <w:spacing w:after="0" w:line="240" w:lineRule="auto"/>
        <w:jc w:val="center"/>
        <w:rPr>
          <w:rFonts w:ascii="ＭＳ 明朝" w:eastAsia="ＭＳ 明朝" w:hAnsi="ＭＳ 明朝" w:cs="Calibri"/>
          <w:sz w:val="24"/>
          <w14:ligatures w14:val="none"/>
        </w:rPr>
      </w:pPr>
    </w:p>
    <w:p w14:paraId="7866A3EB" w14:textId="77777777" w:rsidR="0033753F" w:rsidRPr="0033753F" w:rsidRDefault="0033753F" w:rsidP="0033753F">
      <w:pPr>
        <w:widowControl/>
        <w:spacing w:after="0" w:line="240" w:lineRule="auto"/>
        <w:jc w:val="center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理　　由</w:t>
      </w:r>
    </w:p>
    <w:p w14:paraId="14AB5BFF" w14:textId="77777777" w:rsidR="0033753F" w:rsidRPr="0033753F" w:rsidRDefault="0033753F" w:rsidP="0033753F">
      <w:pPr>
        <w:widowControl/>
        <w:spacing w:after="0" w:line="240" w:lineRule="auto"/>
        <w:ind w:firstLineChars="100" w:firstLine="225"/>
        <w:rPr>
          <w:rFonts w:ascii="ＭＳ 明朝" w:eastAsia="ＭＳ 明朝" w:hAnsi="ＭＳ 明朝" w:cs="Calibri"/>
          <w:sz w:val="24"/>
          <w14:ligatures w14:val="none"/>
        </w:rPr>
      </w:pPr>
    </w:p>
    <w:p w14:paraId="0CF4EF3A" w14:textId="1C5EE00B" w:rsidR="0033753F" w:rsidRPr="0033753F" w:rsidRDefault="0033753F" w:rsidP="0033753F">
      <w:pPr>
        <w:widowControl/>
        <w:spacing w:after="0" w:line="360" w:lineRule="auto"/>
        <w:ind w:rightChars="67" w:right="137" w:firstLineChars="100" w:firstLine="225"/>
        <w:jc w:val="both"/>
        <w:rPr>
          <w:rFonts w:ascii="ＭＳ 明朝" w:eastAsia="ＭＳ 明朝" w:hAnsi="ＭＳ 明朝" w:cs="Calibri"/>
          <w:sz w:val="24"/>
          <w14:ligatures w14:val="none"/>
        </w:rPr>
      </w:pPr>
      <w:bookmarkStart w:id="0" w:name="_Hlk206486079"/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夢洲において、国際観光拠点の形成をめざし、「夢洲第２期区域マスタープラン」に基づくまちづくりの実現及び海上アクセス拠点の強化</w:t>
      </w:r>
      <w:r w:rsidR="00BC5A80">
        <w:rPr>
          <w:rFonts w:ascii="ＭＳ 明朝" w:eastAsia="ＭＳ 明朝" w:hAnsi="ＭＳ 明朝" w:cs="Calibri" w:hint="eastAsia"/>
          <w:sz w:val="24"/>
          <w14:ligatures w14:val="none"/>
        </w:rPr>
        <w:t>等</w:t>
      </w: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に向けて、適切な都市機能の誘導及び維持・保全を図るため、用途地域、臨港地区及び道路の変更と併せて、本案のとおり、</w:t>
      </w:r>
      <w:bookmarkEnd w:id="0"/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特別用途地区を変更しようとするものである。</w:t>
      </w:r>
    </w:p>
    <w:p w14:paraId="2B8A3048" w14:textId="77777777" w:rsidR="0033753F" w:rsidRPr="0033753F" w:rsidRDefault="0033753F" w:rsidP="0033753F">
      <w:pPr>
        <w:widowControl/>
        <w:spacing w:after="0" w:line="240" w:lineRule="auto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/>
          <w:sz w:val="24"/>
          <w14:ligatures w14:val="none"/>
        </w:rPr>
        <w:br w:type="page"/>
      </w:r>
    </w:p>
    <w:p w14:paraId="6F6AF413" w14:textId="77777777" w:rsidR="0033753F" w:rsidRPr="0033753F" w:rsidRDefault="0033753F" w:rsidP="0033753F">
      <w:pPr>
        <w:widowControl/>
        <w:spacing w:after="3"/>
        <w:ind w:left="-5" w:hanging="10"/>
        <w:jc w:val="center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lastRenderedPageBreak/>
        <w:t>（　参　考　）</w:t>
      </w:r>
    </w:p>
    <w:p w14:paraId="75226666" w14:textId="77777777" w:rsidR="0033753F" w:rsidRPr="0033753F" w:rsidRDefault="0033753F" w:rsidP="0033753F">
      <w:pPr>
        <w:widowControl/>
        <w:spacing w:after="3" w:line="240" w:lineRule="auto"/>
        <w:ind w:left="-5" w:hanging="10"/>
        <w:rPr>
          <w:rFonts w:ascii="ＭＳ 明朝" w:eastAsia="ＭＳ 明朝" w:hAnsi="ＭＳ 明朝" w:cs="Calibri"/>
          <w:sz w:val="24"/>
          <w14:ligatures w14:val="none"/>
        </w:rPr>
      </w:pPr>
    </w:p>
    <w:p w14:paraId="43BF4DAB" w14:textId="77777777" w:rsidR="0033753F" w:rsidRPr="0033753F" w:rsidRDefault="0033753F" w:rsidP="0033753F">
      <w:pPr>
        <w:widowControl/>
        <w:numPr>
          <w:ilvl w:val="0"/>
          <w:numId w:val="1"/>
        </w:numPr>
        <w:spacing w:after="3" w:line="240" w:lineRule="auto"/>
        <w:jc w:val="both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変更内容</w:t>
      </w:r>
    </w:p>
    <w:p w14:paraId="1D136148" w14:textId="77777777" w:rsidR="0033753F" w:rsidRPr="0033753F" w:rsidRDefault="0033753F" w:rsidP="0033753F">
      <w:pPr>
        <w:widowControl/>
        <w:spacing w:after="3" w:line="240" w:lineRule="auto"/>
        <w:jc w:val="both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 xml:space="preserve">　　</w:t>
      </w:r>
    </w:p>
    <w:tbl>
      <w:tblPr>
        <w:tblW w:w="8342" w:type="dxa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850"/>
        <w:gridCol w:w="4012"/>
        <w:gridCol w:w="219"/>
      </w:tblGrid>
      <w:tr w:rsidR="0033753F" w:rsidRPr="0033753F" w14:paraId="1ACDFDF8" w14:textId="77777777" w:rsidTr="007B5643">
        <w:tc>
          <w:tcPr>
            <w:tcW w:w="3261" w:type="dxa"/>
          </w:tcPr>
          <w:p w14:paraId="0B87B790" w14:textId="77777777" w:rsidR="0033753F" w:rsidRPr="0033753F" w:rsidRDefault="0033753F" w:rsidP="00885A66">
            <w:pPr>
              <w:widowControl/>
              <w:ind w:rightChars="-203" w:right="-416"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 w:hint="eastAsia"/>
                <w:color w:val="000000"/>
                <w:sz w:val="24"/>
                <w14:ligatures w14:val="none"/>
              </w:rPr>
              <w:t>・国際観光地区（約143.2ha）</w:t>
            </w:r>
          </w:p>
        </w:tc>
        <w:tc>
          <w:tcPr>
            <w:tcW w:w="850" w:type="dxa"/>
          </w:tcPr>
          <w:p w14:paraId="7099CFD3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/>
                <w:noProof/>
                <w:color w:val="000000"/>
                <w:sz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8D060" wp14:editId="3C7EE67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79375</wp:posOffset>
                      </wp:positionV>
                      <wp:extent cx="467995" cy="0"/>
                      <wp:effectExtent l="0" t="76200" r="27305" b="95250"/>
                      <wp:wrapNone/>
                      <wp:docPr id="717103074" name="直線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3C4DB" id="直線コネクタ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6.25pt" to="3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ogwwEAAGkDAAAOAAAAZHJzL2Uyb0RvYy54bWysU8Fu2zAMvQ/YPwi6L06CpVuMOD2k6y7d&#10;FqDdBzCSbAuTRYFU4uTvJ6lJWmy3oj4IpEg9vfdEr26PgxMHQ2zRN3I2mUphvEJtfdfI30/3n75K&#10;wRG8BofeNPJkWN6uP35YjaE2c+zRaUMigXiux9DIPsZQVxWr3gzAEwzGp2KLNEBMKXWVJhgT+uCq&#10;+XR6U41IOhAqw5x2756Lcl3w29ao+Ktt2UThGpm4xbJSWXd5rdYrqDuC0Ft1pgFvYDGA9enSK9Qd&#10;RBB7sv9BDVYRMrZxonCosG2tMkVDUjOb/qPmsYdgipZkDoerTfx+sOrnYeO3lKmro38MD6j+sPC4&#10;6cF3phB4OoX0cLNsVTUGrq9HcsJhS2I3/kCdemAfsbhwbGnIkEmfOBazT1ezzTEKlTY/33xZLhdS&#10;qEupgvpyLhDH7wYHkYNGOuuzDVDD4YFj5gH1pSVve7y3zpWndF6MjVwu5otygNFZnYu5janbbRyJ&#10;A+RhKF8RlSqv2wj3Xhew3oD+do4jWJdiEYsbkWzyxxmZbxuMlsKZNP85eqbn/NmtbFCeRq53qE9b&#10;yuWcpfcsOs6zlwfmdV66Xv6Q9V8AAAD//wMAUEsDBBQABgAIAAAAIQD4WWZJ3AAAAAcBAAAPAAAA&#10;ZHJzL2Rvd25yZXYueG1sTI7NSsNAFIX3gu8wXMFdO2nBENNMigh106q0Fam7aeaaBDN3wsykjW/v&#10;lS50eX445yuWo+3ECX1oHSmYTRMQSJUzLdUK3varSQYiRE1Gd45QwTcGWJbXV4XOjTvTFk+7WAse&#10;oZBrBU2MfS5lqBq0Okxdj8TZp/NWR5a+lsbrM4/bTs6TJJVWt8QPje7xscHqazdYBdvNap29r4ex&#10;8h9Ps5f96+b5EDKlbm/GhwWIiGP8K8MvPqNDyUxHN5AJolMwSZk8sj+/A8F5mt6DOF60LAv5n7/8&#10;AQAA//8DAFBLAQItABQABgAIAAAAIQC2gziS/gAAAOEBAAATAAAAAAAAAAAAAAAAAAAAAABbQ29u&#10;dGVudF9UeXBlc10ueG1sUEsBAi0AFAAGAAgAAAAhADj9If/WAAAAlAEAAAsAAAAAAAAAAAAAAAAA&#10;LwEAAF9yZWxzLy5yZWxzUEsBAi0AFAAGAAgAAAAhAEcI2iDDAQAAaQMAAA4AAAAAAAAAAAAAAAAA&#10;LgIAAGRycy9lMm9Eb2MueG1sUEsBAi0AFAAGAAgAAAAhAPhZZk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12" w:type="dxa"/>
          </w:tcPr>
          <w:p w14:paraId="57C6BA8D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 w:hint="eastAsia"/>
                <w:color w:val="000000"/>
                <w:sz w:val="24"/>
                <w14:ligatures w14:val="none"/>
              </w:rPr>
              <w:t>国際観光地区　Ａ地区（約68.2ha）</w:t>
            </w:r>
          </w:p>
          <w:p w14:paraId="7DEF9873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 w:hint="eastAsia"/>
                <w:color w:val="000000"/>
                <w:sz w:val="24"/>
                <w14:ligatures w14:val="none"/>
              </w:rPr>
              <w:t>国際観光地区　Ｂ地区（約57.1ha）</w:t>
            </w:r>
          </w:p>
        </w:tc>
        <w:tc>
          <w:tcPr>
            <w:tcW w:w="219" w:type="dxa"/>
          </w:tcPr>
          <w:p w14:paraId="6BB85CD3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</w:p>
        </w:tc>
      </w:tr>
    </w:tbl>
    <w:p w14:paraId="6B94DB8C" w14:textId="77777777" w:rsidR="0033753F" w:rsidRPr="0033753F" w:rsidRDefault="0033753F" w:rsidP="0033753F">
      <w:pPr>
        <w:widowControl/>
        <w:spacing w:after="3"/>
        <w:jc w:val="both"/>
        <w:rPr>
          <w:rFonts w:ascii="ＭＳ 明朝" w:eastAsia="ＭＳ 明朝" w:hAnsi="ＭＳ 明朝" w:cs="Calibri"/>
          <w:sz w:val="24"/>
          <w14:ligatures w14:val="none"/>
        </w:rPr>
      </w:pPr>
    </w:p>
    <w:p w14:paraId="48B77C80" w14:textId="77777777" w:rsidR="0033753F" w:rsidRPr="0033753F" w:rsidRDefault="0033753F" w:rsidP="0033753F">
      <w:pPr>
        <w:widowControl/>
        <w:spacing w:after="3"/>
        <w:jc w:val="both"/>
        <w:rPr>
          <w:rFonts w:ascii="ＭＳ 明朝" w:eastAsia="ＭＳ 明朝" w:hAnsi="ＭＳ 明朝" w:cs="Calibri"/>
          <w:sz w:val="24"/>
          <w14:ligatures w14:val="none"/>
        </w:rPr>
      </w:pPr>
    </w:p>
    <w:p w14:paraId="4230110B" w14:textId="77777777" w:rsidR="0033753F" w:rsidRPr="0033753F" w:rsidRDefault="0033753F" w:rsidP="0033753F">
      <w:pPr>
        <w:widowControl/>
        <w:numPr>
          <w:ilvl w:val="0"/>
          <w:numId w:val="1"/>
        </w:numPr>
        <w:spacing w:after="3" w:line="240" w:lineRule="auto"/>
        <w:jc w:val="both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変更に係る土地の区域（約143.2</w:t>
      </w:r>
      <w:r w:rsidRPr="0033753F">
        <w:rPr>
          <w:rFonts w:ascii="ＭＳ 明朝" w:eastAsia="ＭＳ 明朝" w:hAnsi="ＭＳ 明朝" w:cs="Calibri"/>
          <w:sz w:val="24"/>
          <w14:ligatures w14:val="none"/>
        </w:rPr>
        <w:t>ha</w:t>
      </w: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）</w:t>
      </w:r>
    </w:p>
    <w:p w14:paraId="490AA4F8" w14:textId="77777777" w:rsidR="0033753F" w:rsidRPr="0033753F" w:rsidRDefault="0033753F" w:rsidP="0033753F">
      <w:pPr>
        <w:widowControl/>
        <w:spacing w:beforeLines="50" w:before="183" w:after="3"/>
        <w:ind w:left="-6" w:hanging="11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 xml:space="preserve">　　大阪市　此花区　夢洲中一丁目　地内</w:t>
      </w:r>
    </w:p>
    <w:p w14:paraId="38678CFE" w14:textId="77777777" w:rsidR="0033753F" w:rsidRPr="0033753F" w:rsidRDefault="0033753F" w:rsidP="0033753F">
      <w:pPr>
        <w:widowControl/>
        <w:spacing w:after="0" w:line="240" w:lineRule="auto"/>
        <w:rPr>
          <w:rFonts w:ascii="ＭＳ 明朝" w:eastAsia="ＭＳ 明朝" w:hAnsi="ＭＳ 明朝" w:cs="Calibri"/>
          <w:sz w:val="24"/>
          <w14:ligatures w14:val="none"/>
        </w:rPr>
      </w:pPr>
    </w:p>
    <w:p w14:paraId="13C41C4A" w14:textId="77B664F7" w:rsidR="00C13FEA" w:rsidRPr="0033753F" w:rsidRDefault="00C13FEA" w:rsidP="004063A7">
      <w:pPr>
        <w:widowControl/>
        <w:rPr>
          <w:rFonts w:ascii="ＭＳ 明朝" w:eastAsia="ＭＳ 明朝" w:hAnsi="ＭＳ 明朝"/>
          <w:sz w:val="21"/>
          <w:szCs w:val="21"/>
        </w:rPr>
      </w:pPr>
    </w:p>
    <w:sectPr w:rsidR="00C13FEA" w:rsidRPr="0033753F" w:rsidSect="0033753F">
      <w:headerReference w:type="default" r:id="rId7"/>
      <w:pgSz w:w="11906" w:h="16838" w:code="9"/>
      <w:pgMar w:top="1418" w:right="1418" w:bottom="1134" w:left="1418" w:header="851" w:footer="567" w:gutter="0"/>
      <w:cols w:space="425"/>
      <w:titlePg/>
      <w:docGrid w:type="linesAndChars" w:linePitch="36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A841" w14:textId="77777777" w:rsidR="00FC393A" w:rsidRDefault="00FC393A" w:rsidP="00013DCD">
      <w:pPr>
        <w:spacing w:after="0" w:line="240" w:lineRule="auto"/>
      </w:pPr>
      <w:r>
        <w:separator/>
      </w:r>
    </w:p>
  </w:endnote>
  <w:endnote w:type="continuationSeparator" w:id="0">
    <w:p w14:paraId="070C2EBE" w14:textId="77777777" w:rsidR="00FC393A" w:rsidRDefault="00FC393A" w:rsidP="0001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122E" w14:textId="77777777" w:rsidR="00FC393A" w:rsidRDefault="00FC393A" w:rsidP="00013DCD">
      <w:pPr>
        <w:spacing w:after="0" w:line="240" w:lineRule="auto"/>
      </w:pPr>
      <w:r>
        <w:separator/>
      </w:r>
    </w:p>
  </w:footnote>
  <w:footnote w:type="continuationSeparator" w:id="0">
    <w:p w14:paraId="526CC8FD" w14:textId="77777777" w:rsidR="00FC393A" w:rsidRDefault="00FC393A" w:rsidP="0001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2DBD" w14:textId="77777777" w:rsidR="007A6BF9" w:rsidRPr="009B1790" w:rsidRDefault="007A6BF9" w:rsidP="00E725E5">
    <w:pPr>
      <w:pStyle w:val="ab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0694E"/>
    <w:multiLevelType w:val="hybridMultilevel"/>
    <w:tmpl w:val="D376D79E"/>
    <w:lvl w:ilvl="0" w:tplc="D6561E60">
      <w:start w:val="1"/>
      <w:numFmt w:val="decimalFullWidth"/>
      <w:lvlText w:val="%1．"/>
      <w:lvlJc w:val="left"/>
      <w:pPr>
        <w:ind w:left="4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num w:numId="1" w16cid:durableId="153585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A5"/>
    <w:rsid w:val="00013DCD"/>
    <w:rsid w:val="00026370"/>
    <w:rsid w:val="00061143"/>
    <w:rsid w:val="00072BB6"/>
    <w:rsid w:val="000805BE"/>
    <w:rsid w:val="00082635"/>
    <w:rsid w:val="00090CDC"/>
    <w:rsid w:val="000A12F3"/>
    <w:rsid w:val="00112857"/>
    <w:rsid w:val="00172D5C"/>
    <w:rsid w:val="001B68BA"/>
    <w:rsid w:val="001E4B19"/>
    <w:rsid w:val="0022372D"/>
    <w:rsid w:val="00230A74"/>
    <w:rsid w:val="002340F9"/>
    <w:rsid w:val="00257606"/>
    <w:rsid w:val="002856B1"/>
    <w:rsid w:val="002B6A42"/>
    <w:rsid w:val="00327E36"/>
    <w:rsid w:val="0033753F"/>
    <w:rsid w:val="003B28B4"/>
    <w:rsid w:val="003B351A"/>
    <w:rsid w:val="004063A7"/>
    <w:rsid w:val="00406C1A"/>
    <w:rsid w:val="00436CD1"/>
    <w:rsid w:val="004846C1"/>
    <w:rsid w:val="00497E60"/>
    <w:rsid w:val="004A0011"/>
    <w:rsid w:val="004A3519"/>
    <w:rsid w:val="004C4BCA"/>
    <w:rsid w:val="00583ED1"/>
    <w:rsid w:val="005B6235"/>
    <w:rsid w:val="006D5EFF"/>
    <w:rsid w:val="006E6469"/>
    <w:rsid w:val="006F3F66"/>
    <w:rsid w:val="007A6BF9"/>
    <w:rsid w:val="00805877"/>
    <w:rsid w:val="00826A59"/>
    <w:rsid w:val="008721BE"/>
    <w:rsid w:val="00885A66"/>
    <w:rsid w:val="008E4659"/>
    <w:rsid w:val="00947EA5"/>
    <w:rsid w:val="009902F6"/>
    <w:rsid w:val="009D7564"/>
    <w:rsid w:val="00A474E2"/>
    <w:rsid w:val="00AD24C4"/>
    <w:rsid w:val="00AE367E"/>
    <w:rsid w:val="00B002F2"/>
    <w:rsid w:val="00B2550F"/>
    <w:rsid w:val="00B4627D"/>
    <w:rsid w:val="00B50D36"/>
    <w:rsid w:val="00B51EC5"/>
    <w:rsid w:val="00B63DA1"/>
    <w:rsid w:val="00BB2DB6"/>
    <w:rsid w:val="00BC5A80"/>
    <w:rsid w:val="00BD3D2F"/>
    <w:rsid w:val="00C027B7"/>
    <w:rsid w:val="00C13FEA"/>
    <w:rsid w:val="00C36C41"/>
    <w:rsid w:val="00C65D1E"/>
    <w:rsid w:val="00C82CE8"/>
    <w:rsid w:val="00CB11E6"/>
    <w:rsid w:val="00CB7E02"/>
    <w:rsid w:val="00CC0BDC"/>
    <w:rsid w:val="00D46B61"/>
    <w:rsid w:val="00DB7857"/>
    <w:rsid w:val="00DE19EB"/>
    <w:rsid w:val="00E120FF"/>
    <w:rsid w:val="00EF0DCC"/>
    <w:rsid w:val="00EF67AF"/>
    <w:rsid w:val="00F23F6F"/>
    <w:rsid w:val="00F716B2"/>
    <w:rsid w:val="00F75D1A"/>
    <w:rsid w:val="00F90B65"/>
    <w:rsid w:val="00FC393A"/>
    <w:rsid w:val="00F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6F778"/>
  <w15:chartTrackingRefBased/>
  <w15:docId w15:val="{FF8507B9-73F7-478F-B639-778004EF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E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E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E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E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E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E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E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E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E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E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E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E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E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E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7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3D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3DCD"/>
  </w:style>
  <w:style w:type="paragraph" w:styleId="ad">
    <w:name w:val="footer"/>
    <w:basedOn w:val="a"/>
    <w:link w:val="ae"/>
    <w:uiPriority w:val="99"/>
    <w:unhideWhenUsed/>
    <w:rsid w:val="00013D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cp:lastPrinted>2025-09-22T00:44:00Z</cp:lastPrinted>
  <dcterms:created xsi:type="dcterms:W3CDTF">2025-09-29T07:32:00Z</dcterms:created>
  <dcterms:modified xsi:type="dcterms:W3CDTF">2025-10-07T02:47:00Z</dcterms:modified>
</cp:coreProperties>
</file>