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5B958" w14:textId="3E04F714" w:rsidR="005D29DD" w:rsidRPr="00F65894" w:rsidRDefault="005D29DD" w:rsidP="005D29DD">
      <w:pPr>
        <w:widowControl/>
        <w:jc w:val="center"/>
        <w:rPr>
          <w:rFonts w:ascii="ＭＳ 明朝" w:hAnsi="ＭＳ 明朝"/>
          <w:sz w:val="32"/>
          <w:szCs w:val="32"/>
        </w:rPr>
      </w:pPr>
    </w:p>
    <w:p w14:paraId="21C3B980" w14:textId="77777777" w:rsidR="00D05537" w:rsidRPr="00F65894" w:rsidRDefault="00D05537" w:rsidP="001C201E">
      <w:pPr>
        <w:kinsoku w:val="0"/>
        <w:autoSpaceDE w:val="0"/>
        <w:autoSpaceDN w:val="0"/>
        <w:jc w:val="center"/>
        <w:rPr>
          <w:rFonts w:ascii="ＭＳ 明朝" w:hAnsi="ＭＳ 明朝"/>
          <w:sz w:val="40"/>
          <w:szCs w:val="40"/>
        </w:rPr>
      </w:pPr>
    </w:p>
    <w:p w14:paraId="6CB02D4D" w14:textId="77777777" w:rsidR="00D05537" w:rsidRPr="00F65894" w:rsidRDefault="00D05537" w:rsidP="001C201E">
      <w:pPr>
        <w:kinsoku w:val="0"/>
        <w:autoSpaceDE w:val="0"/>
        <w:autoSpaceDN w:val="0"/>
        <w:jc w:val="center"/>
        <w:rPr>
          <w:rFonts w:ascii="ＭＳ 明朝" w:hAnsi="ＭＳ 明朝"/>
          <w:sz w:val="40"/>
          <w:szCs w:val="40"/>
        </w:rPr>
      </w:pPr>
    </w:p>
    <w:p w14:paraId="3DC6DFF4" w14:textId="77777777" w:rsidR="00D05537" w:rsidRPr="00F65894" w:rsidRDefault="00D05537" w:rsidP="001C201E">
      <w:pPr>
        <w:kinsoku w:val="0"/>
        <w:autoSpaceDE w:val="0"/>
        <w:autoSpaceDN w:val="0"/>
        <w:jc w:val="center"/>
        <w:rPr>
          <w:rFonts w:ascii="ＭＳ 明朝" w:hAnsi="ＭＳ 明朝"/>
          <w:sz w:val="40"/>
          <w:szCs w:val="40"/>
        </w:rPr>
      </w:pPr>
    </w:p>
    <w:p w14:paraId="118A6C95" w14:textId="77777777" w:rsidR="00D05537" w:rsidRPr="00F65894" w:rsidRDefault="00D05537" w:rsidP="001C201E">
      <w:pPr>
        <w:kinsoku w:val="0"/>
        <w:autoSpaceDE w:val="0"/>
        <w:autoSpaceDN w:val="0"/>
        <w:jc w:val="center"/>
        <w:rPr>
          <w:rFonts w:ascii="ＭＳ 明朝" w:hAnsi="ＭＳ 明朝"/>
          <w:sz w:val="40"/>
          <w:szCs w:val="40"/>
        </w:rPr>
      </w:pPr>
    </w:p>
    <w:p w14:paraId="06745AE9" w14:textId="19187CC6" w:rsidR="00D05537" w:rsidRPr="00F65894" w:rsidRDefault="00D05537" w:rsidP="001C201E">
      <w:pPr>
        <w:kinsoku w:val="0"/>
        <w:autoSpaceDE w:val="0"/>
        <w:autoSpaceDN w:val="0"/>
        <w:jc w:val="center"/>
        <w:rPr>
          <w:rFonts w:ascii="ＭＳ 明朝" w:hAnsi="ＭＳ 明朝"/>
          <w:sz w:val="40"/>
          <w:szCs w:val="40"/>
        </w:rPr>
      </w:pPr>
    </w:p>
    <w:p w14:paraId="5B777359" w14:textId="77777777" w:rsidR="005D29DD" w:rsidRPr="00F65894" w:rsidRDefault="005D29DD" w:rsidP="001C201E">
      <w:pPr>
        <w:kinsoku w:val="0"/>
        <w:autoSpaceDE w:val="0"/>
        <w:autoSpaceDN w:val="0"/>
        <w:jc w:val="center"/>
        <w:rPr>
          <w:rFonts w:ascii="ＭＳ 明朝" w:hAnsi="ＭＳ 明朝"/>
          <w:sz w:val="40"/>
          <w:szCs w:val="40"/>
        </w:rPr>
      </w:pPr>
    </w:p>
    <w:p w14:paraId="38D05AC3" w14:textId="77777777" w:rsidR="001C201E" w:rsidRPr="00F65894" w:rsidRDefault="001C201E" w:rsidP="001C201E">
      <w:pPr>
        <w:kinsoku w:val="0"/>
        <w:autoSpaceDE w:val="0"/>
        <w:autoSpaceDN w:val="0"/>
        <w:jc w:val="center"/>
        <w:rPr>
          <w:rFonts w:ascii="ＭＳ 明朝" w:hAnsi="ＭＳ 明朝"/>
          <w:sz w:val="40"/>
          <w:szCs w:val="40"/>
        </w:rPr>
      </w:pPr>
      <w:r w:rsidRPr="00F65894">
        <w:rPr>
          <w:rFonts w:ascii="ＭＳ 明朝" w:hAnsi="ＭＳ 明朝" w:hint="eastAsia"/>
          <w:sz w:val="40"/>
          <w:szCs w:val="40"/>
        </w:rPr>
        <w:t>地方独立行政法人大阪市博物館機構</w:t>
      </w:r>
    </w:p>
    <w:p w14:paraId="2C36B492" w14:textId="32A218AD" w:rsidR="001C201E" w:rsidRPr="00F65894" w:rsidRDefault="001C201E" w:rsidP="001C201E">
      <w:pPr>
        <w:kinsoku w:val="0"/>
        <w:autoSpaceDE w:val="0"/>
        <w:autoSpaceDN w:val="0"/>
        <w:jc w:val="center"/>
        <w:rPr>
          <w:rFonts w:ascii="ＭＳ 明朝" w:hAnsi="ＭＳ 明朝"/>
          <w:sz w:val="40"/>
          <w:szCs w:val="40"/>
        </w:rPr>
      </w:pPr>
      <w:r w:rsidRPr="00F65894">
        <w:rPr>
          <w:rFonts w:ascii="ＭＳ 明朝" w:hAnsi="ＭＳ 明朝" w:hint="eastAsia"/>
          <w:sz w:val="40"/>
          <w:szCs w:val="40"/>
        </w:rPr>
        <w:t>令和</w:t>
      </w:r>
      <w:r w:rsidR="00F65894" w:rsidRPr="00F65894">
        <w:rPr>
          <w:rFonts w:ascii="ＭＳ 明朝" w:hAnsi="ＭＳ 明朝" w:hint="eastAsia"/>
          <w:sz w:val="40"/>
          <w:szCs w:val="40"/>
        </w:rPr>
        <w:t>６</w:t>
      </w:r>
      <w:r w:rsidR="00B53010" w:rsidRPr="00F65894">
        <w:rPr>
          <w:rFonts w:ascii="ＭＳ 明朝" w:hAnsi="ＭＳ 明朝" w:hint="eastAsia"/>
          <w:sz w:val="40"/>
          <w:szCs w:val="40"/>
        </w:rPr>
        <w:t>事業</w:t>
      </w:r>
      <w:r w:rsidRPr="00F65894">
        <w:rPr>
          <w:rFonts w:ascii="ＭＳ 明朝" w:hAnsi="ＭＳ 明朝" w:hint="eastAsia"/>
          <w:sz w:val="40"/>
          <w:szCs w:val="40"/>
        </w:rPr>
        <w:t>年度の業務実績に関する評価結果</w:t>
      </w:r>
    </w:p>
    <w:p w14:paraId="49BA14B0" w14:textId="78BA94E5" w:rsidR="001C201E" w:rsidRPr="00F65894" w:rsidRDefault="001C201E" w:rsidP="001C201E">
      <w:pPr>
        <w:kinsoku w:val="0"/>
        <w:autoSpaceDE w:val="0"/>
        <w:autoSpaceDN w:val="0"/>
        <w:jc w:val="center"/>
        <w:rPr>
          <w:rFonts w:ascii="ＭＳ 明朝" w:hAnsi="ＭＳ 明朝"/>
          <w:sz w:val="40"/>
          <w:szCs w:val="40"/>
        </w:rPr>
      </w:pPr>
    </w:p>
    <w:p w14:paraId="02B88101" w14:textId="77777777" w:rsidR="001C201E" w:rsidRPr="00F65894" w:rsidRDefault="001C201E" w:rsidP="001C201E">
      <w:pPr>
        <w:kinsoku w:val="0"/>
        <w:autoSpaceDE w:val="0"/>
        <w:autoSpaceDN w:val="0"/>
        <w:jc w:val="left"/>
        <w:rPr>
          <w:rFonts w:ascii="ＭＳ 明朝" w:hAnsi="ＭＳ 明朝"/>
          <w:b/>
          <w:sz w:val="32"/>
          <w:szCs w:val="32"/>
        </w:rPr>
      </w:pPr>
    </w:p>
    <w:p w14:paraId="7B39A767" w14:textId="77777777" w:rsidR="001C201E" w:rsidRPr="00F65894" w:rsidRDefault="001C201E" w:rsidP="001C201E">
      <w:pPr>
        <w:kinsoku w:val="0"/>
        <w:autoSpaceDE w:val="0"/>
        <w:autoSpaceDN w:val="0"/>
        <w:jc w:val="left"/>
        <w:rPr>
          <w:rFonts w:ascii="ＭＳ 明朝" w:hAnsi="ＭＳ 明朝"/>
          <w:b/>
          <w:sz w:val="32"/>
          <w:szCs w:val="32"/>
        </w:rPr>
      </w:pPr>
    </w:p>
    <w:p w14:paraId="6DD8026B" w14:textId="77777777" w:rsidR="001C201E" w:rsidRPr="00F65894" w:rsidRDefault="001C201E" w:rsidP="001C201E">
      <w:pPr>
        <w:kinsoku w:val="0"/>
        <w:autoSpaceDE w:val="0"/>
        <w:autoSpaceDN w:val="0"/>
        <w:jc w:val="left"/>
        <w:rPr>
          <w:rFonts w:ascii="ＭＳ 明朝" w:hAnsi="ＭＳ 明朝"/>
          <w:b/>
          <w:sz w:val="32"/>
          <w:szCs w:val="32"/>
        </w:rPr>
      </w:pPr>
    </w:p>
    <w:p w14:paraId="12E1B849" w14:textId="77777777" w:rsidR="001C201E" w:rsidRPr="00F65894" w:rsidRDefault="001C201E" w:rsidP="001C201E">
      <w:pPr>
        <w:kinsoku w:val="0"/>
        <w:autoSpaceDE w:val="0"/>
        <w:autoSpaceDN w:val="0"/>
        <w:jc w:val="left"/>
        <w:rPr>
          <w:rFonts w:ascii="ＭＳ 明朝" w:hAnsi="ＭＳ 明朝"/>
          <w:b/>
          <w:sz w:val="32"/>
          <w:szCs w:val="32"/>
        </w:rPr>
      </w:pPr>
    </w:p>
    <w:p w14:paraId="78679445" w14:textId="77777777" w:rsidR="001C201E" w:rsidRPr="00F65894" w:rsidRDefault="001C201E" w:rsidP="001C201E">
      <w:pPr>
        <w:kinsoku w:val="0"/>
        <w:autoSpaceDE w:val="0"/>
        <w:autoSpaceDN w:val="0"/>
        <w:jc w:val="left"/>
        <w:rPr>
          <w:rFonts w:ascii="ＭＳ 明朝" w:hAnsi="ＭＳ 明朝"/>
          <w:b/>
          <w:sz w:val="32"/>
          <w:szCs w:val="32"/>
        </w:rPr>
      </w:pPr>
    </w:p>
    <w:p w14:paraId="38B00D68" w14:textId="77777777" w:rsidR="001C201E" w:rsidRPr="00F65894" w:rsidRDefault="001C201E" w:rsidP="001C201E">
      <w:pPr>
        <w:kinsoku w:val="0"/>
        <w:autoSpaceDE w:val="0"/>
        <w:autoSpaceDN w:val="0"/>
        <w:jc w:val="left"/>
        <w:rPr>
          <w:rFonts w:ascii="ＭＳ 明朝" w:hAnsi="ＭＳ 明朝"/>
          <w:b/>
          <w:sz w:val="32"/>
          <w:szCs w:val="32"/>
        </w:rPr>
      </w:pPr>
    </w:p>
    <w:p w14:paraId="54FF2FD0" w14:textId="4ECB86D3" w:rsidR="001C201E" w:rsidRPr="00F65894" w:rsidRDefault="001C201E" w:rsidP="001C201E">
      <w:pPr>
        <w:kinsoku w:val="0"/>
        <w:autoSpaceDE w:val="0"/>
        <w:autoSpaceDN w:val="0"/>
        <w:jc w:val="center"/>
        <w:rPr>
          <w:rFonts w:ascii="ＭＳ 明朝" w:hAnsi="ＭＳ 明朝"/>
          <w:sz w:val="36"/>
          <w:szCs w:val="36"/>
        </w:rPr>
      </w:pPr>
      <w:r w:rsidRPr="00F65894">
        <w:rPr>
          <w:rFonts w:ascii="ＭＳ 明朝" w:hAnsi="ＭＳ 明朝" w:hint="eastAsia"/>
          <w:sz w:val="36"/>
          <w:szCs w:val="36"/>
        </w:rPr>
        <w:t>令和</w:t>
      </w:r>
      <w:r w:rsidR="00F65894" w:rsidRPr="00F65894">
        <w:rPr>
          <w:rFonts w:ascii="ＭＳ 明朝" w:hAnsi="ＭＳ 明朝" w:hint="eastAsia"/>
          <w:sz w:val="36"/>
          <w:szCs w:val="36"/>
        </w:rPr>
        <w:t>７</w:t>
      </w:r>
      <w:r w:rsidRPr="00F65894">
        <w:rPr>
          <w:rFonts w:ascii="ＭＳ 明朝" w:hAnsi="ＭＳ 明朝" w:hint="eastAsia"/>
          <w:sz w:val="36"/>
          <w:szCs w:val="36"/>
        </w:rPr>
        <w:t>年</w:t>
      </w:r>
      <w:r w:rsidR="00217DC6" w:rsidRPr="00F65894">
        <w:rPr>
          <w:rFonts w:ascii="ＭＳ 明朝" w:hAnsi="ＭＳ 明朝" w:hint="eastAsia"/>
          <w:sz w:val="36"/>
          <w:szCs w:val="36"/>
        </w:rPr>
        <w:t>９</w:t>
      </w:r>
      <w:r w:rsidRPr="00F65894">
        <w:rPr>
          <w:rFonts w:ascii="ＭＳ 明朝" w:hAnsi="ＭＳ 明朝" w:hint="eastAsia"/>
          <w:sz w:val="36"/>
          <w:szCs w:val="36"/>
        </w:rPr>
        <w:t>月</w:t>
      </w:r>
    </w:p>
    <w:p w14:paraId="5CDA2104" w14:textId="77777777" w:rsidR="001C201E" w:rsidRPr="00F65894" w:rsidRDefault="001C201E" w:rsidP="001C201E">
      <w:pPr>
        <w:kinsoku w:val="0"/>
        <w:autoSpaceDE w:val="0"/>
        <w:autoSpaceDN w:val="0"/>
        <w:jc w:val="left"/>
        <w:rPr>
          <w:rFonts w:ascii="ＭＳ 明朝" w:hAnsi="ＭＳ 明朝"/>
          <w:sz w:val="32"/>
          <w:szCs w:val="32"/>
        </w:rPr>
      </w:pPr>
    </w:p>
    <w:p w14:paraId="37318A38" w14:textId="77777777" w:rsidR="001C201E" w:rsidRPr="00F65894" w:rsidRDefault="001C201E" w:rsidP="001C201E">
      <w:pPr>
        <w:kinsoku w:val="0"/>
        <w:autoSpaceDE w:val="0"/>
        <w:autoSpaceDN w:val="0"/>
        <w:jc w:val="center"/>
        <w:rPr>
          <w:rFonts w:ascii="ＭＳ 明朝" w:hAnsi="ＭＳ 明朝"/>
          <w:sz w:val="36"/>
          <w:szCs w:val="36"/>
        </w:rPr>
      </w:pPr>
      <w:r w:rsidRPr="00F65894">
        <w:rPr>
          <w:rFonts w:ascii="ＭＳ 明朝" w:hAnsi="ＭＳ 明朝" w:hint="eastAsia"/>
          <w:sz w:val="36"/>
          <w:szCs w:val="36"/>
        </w:rPr>
        <w:t>大　阪　市</w:t>
      </w:r>
    </w:p>
    <w:p w14:paraId="0290522D" w14:textId="77777777" w:rsidR="001C201E" w:rsidRPr="001C201E" w:rsidRDefault="001C201E" w:rsidP="001C201E">
      <w:pPr>
        <w:kinsoku w:val="0"/>
        <w:autoSpaceDE w:val="0"/>
        <w:autoSpaceDN w:val="0"/>
        <w:rPr>
          <w:sz w:val="22"/>
        </w:rPr>
        <w:sectPr w:rsidR="001C201E" w:rsidRPr="001C201E" w:rsidSect="00C36772">
          <w:footerReference w:type="default" r:id="rId8"/>
          <w:footerReference w:type="first" r:id="rId9"/>
          <w:pgSz w:w="11906" w:h="16838" w:code="9"/>
          <w:pgMar w:top="1474" w:right="1304" w:bottom="1474" w:left="1304" w:header="851" w:footer="510" w:gutter="0"/>
          <w:pgNumType w:start="1"/>
          <w:cols w:space="425"/>
          <w:docGrid w:type="linesAndChars" w:linePitch="534" w:charSpace="5874"/>
        </w:sectPr>
      </w:pPr>
    </w:p>
    <w:p w14:paraId="75AD34ED" w14:textId="77777777" w:rsidR="001C201E" w:rsidRPr="00F65894" w:rsidRDefault="001C201E" w:rsidP="001C201E">
      <w:pPr>
        <w:kinsoku w:val="0"/>
        <w:autoSpaceDE w:val="0"/>
        <w:autoSpaceDN w:val="0"/>
        <w:jc w:val="left"/>
        <w:rPr>
          <w:rFonts w:ascii="ＭＳ 明朝" w:hAnsi="ＭＳ 明朝"/>
          <w:b/>
          <w:sz w:val="24"/>
        </w:rPr>
      </w:pPr>
      <w:r w:rsidRPr="00F65894">
        <w:rPr>
          <w:rFonts w:ascii="ＭＳ 明朝" w:hAnsi="ＭＳ 明朝" w:hint="eastAsia"/>
          <w:b/>
          <w:sz w:val="24"/>
        </w:rPr>
        <w:lastRenderedPageBreak/>
        <w:t>１　地方独立行政法人大阪市博物館機構の評価の考え方</w:t>
      </w:r>
    </w:p>
    <w:p w14:paraId="10D46B3A" w14:textId="77777777" w:rsidR="001C201E" w:rsidRPr="00F65894" w:rsidRDefault="001C201E" w:rsidP="001C201E">
      <w:pPr>
        <w:kinsoku w:val="0"/>
        <w:autoSpaceDE w:val="0"/>
        <w:autoSpaceDN w:val="0"/>
        <w:jc w:val="left"/>
        <w:rPr>
          <w:rFonts w:ascii="ＭＳ 明朝" w:hAnsi="ＭＳ 明朝"/>
          <w:sz w:val="22"/>
        </w:rPr>
      </w:pPr>
    </w:p>
    <w:p w14:paraId="7C34A61E" w14:textId="231B54D4" w:rsidR="0007107D" w:rsidRPr="007068D1" w:rsidRDefault="001C201E" w:rsidP="00F72354">
      <w:pPr>
        <w:kinsoku w:val="0"/>
        <w:autoSpaceDE w:val="0"/>
        <w:autoSpaceDN w:val="0"/>
        <w:ind w:leftChars="100" w:left="210" w:firstLineChars="100" w:firstLine="220"/>
        <w:jc w:val="left"/>
        <w:rPr>
          <w:rFonts w:ascii="ＭＳ 明朝" w:hAnsi="ＭＳ 明朝"/>
          <w:color w:val="000000" w:themeColor="text1"/>
          <w:sz w:val="22"/>
        </w:rPr>
      </w:pPr>
      <w:r w:rsidRPr="00F65894">
        <w:rPr>
          <w:rFonts w:ascii="ＭＳ 明朝" w:hAnsi="ＭＳ 明朝" w:hint="eastAsia"/>
          <w:sz w:val="22"/>
        </w:rPr>
        <w:t>市長は、地方</w:t>
      </w:r>
      <w:r w:rsidRPr="00892D91">
        <w:rPr>
          <w:rFonts w:ascii="ＭＳ 明朝" w:hAnsi="ＭＳ 明朝" w:hint="eastAsia"/>
          <w:color w:val="000000" w:themeColor="text1"/>
          <w:sz w:val="22"/>
        </w:rPr>
        <w:t>独立行政法人大阪市博物館機構について、「地方独立行政法人大阪市博物館機構にかかる業務実績評価実施要領」に基づき、次のとおり令和</w:t>
      </w:r>
      <w:r w:rsidR="00047BD2" w:rsidRPr="00892D91">
        <w:rPr>
          <w:rFonts w:ascii="ＭＳ 明朝" w:hAnsi="ＭＳ 明朝" w:hint="eastAsia"/>
          <w:color w:val="000000" w:themeColor="text1"/>
          <w:sz w:val="22"/>
        </w:rPr>
        <w:t>６</w:t>
      </w:r>
      <w:r w:rsidR="003F294C" w:rsidRPr="00892D91">
        <w:rPr>
          <w:rFonts w:ascii="ＭＳ 明朝" w:hAnsi="ＭＳ 明朝" w:hint="eastAsia"/>
          <w:color w:val="000000" w:themeColor="text1"/>
          <w:sz w:val="22"/>
        </w:rPr>
        <w:t>事業</w:t>
      </w:r>
      <w:r w:rsidRPr="00892D91">
        <w:rPr>
          <w:rFonts w:ascii="ＭＳ 明朝" w:hAnsi="ＭＳ 明朝" w:hint="eastAsia"/>
          <w:color w:val="000000" w:themeColor="text1"/>
          <w:sz w:val="22"/>
        </w:rPr>
        <w:t>年度の業</w:t>
      </w:r>
      <w:r w:rsidRPr="007068D1">
        <w:rPr>
          <w:rFonts w:ascii="ＭＳ 明朝" w:hAnsi="ＭＳ 明朝" w:hint="eastAsia"/>
          <w:color w:val="000000" w:themeColor="text1"/>
          <w:sz w:val="22"/>
        </w:rPr>
        <w:t>務の実績に関する評価を行った。</w:t>
      </w:r>
    </w:p>
    <w:p w14:paraId="737E90BB" w14:textId="77777777" w:rsidR="00F72354" w:rsidRPr="007068D1" w:rsidRDefault="00F72354" w:rsidP="00F72354">
      <w:pPr>
        <w:pStyle w:val="aa"/>
        <w:rPr>
          <w:color w:val="000000" w:themeColor="text1"/>
        </w:rPr>
      </w:pPr>
    </w:p>
    <w:p w14:paraId="59835310" w14:textId="4F9A8FD6" w:rsidR="00F72354" w:rsidRPr="007068D1" w:rsidRDefault="00F72354" w:rsidP="00F72354">
      <w:pPr>
        <w:pStyle w:val="aa"/>
        <w:rPr>
          <w:color w:val="000000" w:themeColor="text1"/>
        </w:rPr>
      </w:pPr>
      <w:r w:rsidRPr="007068D1">
        <w:rPr>
          <w:rFonts w:hint="eastAsia"/>
          <w:color w:val="000000" w:themeColor="text1"/>
        </w:rPr>
        <w:t>（</w:t>
      </w:r>
      <w:r w:rsidRPr="007068D1">
        <w:rPr>
          <w:color w:val="000000" w:themeColor="text1"/>
        </w:rPr>
        <w:t>評価の基本方針</w:t>
      </w:r>
      <w:r w:rsidRPr="007068D1">
        <w:rPr>
          <w:rFonts w:hint="eastAsia"/>
          <w:color w:val="000000" w:themeColor="text1"/>
        </w:rPr>
        <w:t>）</w:t>
      </w:r>
    </w:p>
    <w:p w14:paraId="1E1673D7" w14:textId="77777777" w:rsidR="00F72354" w:rsidRPr="007068D1" w:rsidRDefault="00F72354" w:rsidP="00F72354">
      <w:pPr>
        <w:pStyle w:val="aa"/>
        <w:ind w:leftChars="100" w:left="420" w:hangingChars="100" w:hanging="210"/>
        <w:rPr>
          <w:color w:val="000000" w:themeColor="text1"/>
        </w:rPr>
      </w:pPr>
      <w:r w:rsidRPr="007068D1">
        <w:rPr>
          <w:rFonts w:hint="eastAsia"/>
          <w:color w:val="000000" w:themeColor="text1"/>
        </w:rPr>
        <w:t xml:space="preserve">１　</w:t>
      </w:r>
      <w:r w:rsidRPr="007068D1">
        <w:rPr>
          <w:color w:val="000000" w:themeColor="text1"/>
        </w:rPr>
        <w:t>評価の目的は、年度計画、中期計画の進捗状況等を目標の達成状況や具体的な事例等により評価し、組織・業務等に関する改善すべき点等を明らかにすることにより、法人運営の質的向上及び大阪市ミュージアムビジョンに掲げる「都市のコアとしてのミュージアム」の実現に資することとする。</w:t>
      </w:r>
    </w:p>
    <w:p w14:paraId="5E66CF94" w14:textId="77777777" w:rsidR="00F72354" w:rsidRPr="007068D1" w:rsidRDefault="00F72354" w:rsidP="00F72354">
      <w:pPr>
        <w:pStyle w:val="aa"/>
        <w:ind w:leftChars="100" w:left="420" w:hangingChars="100" w:hanging="210"/>
        <w:rPr>
          <w:color w:val="000000" w:themeColor="text1"/>
        </w:rPr>
      </w:pPr>
      <w:r w:rsidRPr="007068D1">
        <w:rPr>
          <w:rFonts w:hint="eastAsia"/>
          <w:color w:val="000000" w:themeColor="text1"/>
        </w:rPr>
        <w:t xml:space="preserve">２　</w:t>
      </w:r>
      <w:r w:rsidRPr="007068D1">
        <w:rPr>
          <w:color w:val="000000" w:themeColor="text1"/>
        </w:rPr>
        <w:t>市民への説明責任の観点から、中期目標の</w:t>
      </w:r>
      <w:r w:rsidRPr="007068D1">
        <w:rPr>
          <w:rFonts w:hint="eastAsia"/>
          <w:color w:val="000000" w:themeColor="text1"/>
        </w:rPr>
        <w:t>達成</w:t>
      </w:r>
      <w:r w:rsidRPr="007068D1">
        <w:rPr>
          <w:color w:val="000000" w:themeColor="text1"/>
        </w:rPr>
        <w:t>に向けた法人の取組状況等を分かりやすく示すこととする。</w:t>
      </w:r>
    </w:p>
    <w:p w14:paraId="29363DC1" w14:textId="77777777" w:rsidR="00F72354" w:rsidRPr="007068D1" w:rsidRDefault="00F72354" w:rsidP="00F72354">
      <w:pPr>
        <w:pStyle w:val="aa"/>
        <w:ind w:leftChars="100" w:left="420" w:hangingChars="100" w:hanging="210"/>
        <w:rPr>
          <w:color w:val="000000" w:themeColor="text1"/>
        </w:rPr>
      </w:pPr>
      <w:r w:rsidRPr="007068D1">
        <w:rPr>
          <w:rFonts w:hint="eastAsia"/>
          <w:color w:val="000000" w:themeColor="text1"/>
        </w:rPr>
        <w:t xml:space="preserve">３　</w:t>
      </w:r>
      <w:r w:rsidRPr="007068D1">
        <w:rPr>
          <w:color w:val="000000" w:themeColor="text1"/>
        </w:rPr>
        <w:t>評価の方法については、法人を取り巻く環境変化等を踏まえ、必要に応じて見直すこととする。</w:t>
      </w:r>
    </w:p>
    <w:p w14:paraId="0E2DAD18" w14:textId="77777777" w:rsidR="00F72354" w:rsidRPr="007068D1" w:rsidRDefault="00F72354" w:rsidP="00F72354">
      <w:pPr>
        <w:pStyle w:val="aa"/>
        <w:ind w:left="142"/>
        <w:rPr>
          <w:color w:val="000000" w:themeColor="text1"/>
        </w:rPr>
      </w:pPr>
    </w:p>
    <w:p w14:paraId="095621C0" w14:textId="77777777" w:rsidR="00F72354" w:rsidRPr="007068D1" w:rsidRDefault="00F72354" w:rsidP="00F72354">
      <w:pPr>
        <w:pStyle w:val="aa"/>
        <w:rPr>
          <w:color w:val="000000" w:themeColor="text1"/>
        </w:rPr>
      </w:pPr>
      <w:r w:rsidRPr="007068D1">
        <w:rPr>
          <w:rFonts w:hint="eastAsia"/>
          <w:color w:val="000000" w:themeColor="text1"/>
        </w:rPr>
        <w:t>（評価対象事項）</w:t>
      </w:r>
    </w:p>
    <w:p w14:paraId="485986C9" w14:textId="77777777" w:rsidR="00F72354" w:rsidRPr="007068D1" w:rsidRDefault="00F72354" w:rsidP="00F72354">
      <w:pPr>
        <w:pStyle w:val="aa"/>
        <w:ind w:leftChars="100" w:left="210" w:firstLineChars="100" w:firstLine="210"/>
        <w:rPr>
          <w:color w:val="000000" w:themeColor="text1"/>
        </w:rPr>
      </w:pPr>
      <w:r w:rsidRPr="007068D1">
        <w:rPr>
          <w:rFonts w:hint="eastAsia"/>
          <w:color w:val="000000" w:themeColor="text1"/>
        </w:rPr>
        <w:t>地方独立行政法人法第</w:t>
      </w:r>
      <w:r w:rsidRPr="007068D1">
        <w:rPr>
          <w:color w:val="000000" w:themeColor="text1"/>
        </w:rPr>
        <w:t>28条第1項で定める</w:t>
      </w:r>
      <w:r w:rsidRPr="007068D1">
        <w:rPr>
          <w:rFonts w:hint="eastAsia"/>
          <w:color w:val="000000" w:themeColor="text1"/>
        </w:rPr>
        <w:t>事業年度</w:t>
      </w:r>
      <w:r w:rsidRPr="007068D1">
        <w:rPr>
          <w:color w:val="000000" w:themeColor="text1"/>
        </w:rPr>
        <w:t>評価について、</w:t>
      </w:r>
      <w:r w:rsidRPr="007068D1">
        <w:rPr>
          <w:rFonts w:hint="eastAsia"/>
          <w:color w:val="000000" w:themeColor="text1"/>
        </w:rPr>
        <w:t>前事業年度における業務実績評価を行う</w:t>
      </w:r>
      <w:r w:rsidRPr="007068D1">
        <w:rPr>
          <w:color w:val="000000" w:themeColor="text1"/>
        </w:rPr>
        <w:t>。</w:t>
      </w:r>
    </w:p>
    <w:p w14:paraId="13122C03" w14:textId="77777777" w:rsidR="00F72354" w:rsidRPr="007068D1" w:rsidRDefault="00F72354" w:rsidP="00F72354">
      <w:pPr>
        <w:rPr>
          <w:rFonts w:ascii="ＭＳ 明朝" w:hAnsi="ＭＳ 明朝"/>
          <w:color w:val="000000" w:themeColor="text1"/>
        </w:rPr>
      </w:pPr>
    </w:p>
    <w:p w14:paraId="729C8FEC" w14:textId="2639D0F6" w:rsidR="00F72354" w:rsidRPr="007068D1" w:rsidRDefault="00F72354" w:rsidP="00F72354">
      <w:pPr>
        <w:rPr>
          <w:rFonts w:ascii="ＭＳ 明朝" w:hAnsi="ＭＳ 明朝"/>
          <w:color w:val="000000" w:themeColor="text1"/>
        </w:rPr>
      </w:pPr>
      <w:r w:rsidRPr="007068D1">
        <w:rPr>
          <w:rFonts w:ascii="ＭＳ 明朝" w:hAnsi="ＭＳ 明朝" w:hint="eastAsia"/>
          <w:color w:val="000000" w:themeColor="text1"/>
        </w:rPr>
        <w:t>（事業年度評価）</w:t>
      </w:r>
    </w:p>
    <w:p w14:paraId="7B4A580D" w14:textId="77777777" w:rsidR="00F72354" w:rsidRPr="007068D1" w:rsidRDefault="00F72354" w:rsidP="00F72354">
      <w:pPr>
        <w:ind w:firstLineChars="100" w:firstLine="210"/>
        <w:rPr>
          <w:rFonts w:ascii="ＭＳ 明朝" w:hAnsi="ＭＳ 明朝"/>
          <w:color w:val="000000" w:themeColor="text1"/>
        </w:rPr>
      </w:pPr>
      <w:r w:rsidRPr="007068D1">
        <w:rPr>
          <w:rFonts w:ascii="ＭＳ 明朝" w:hAnsi="ＭＳ 明朝"/>
          <w:color w:val="000000" w:themeColor="text1"/>
        </w:rPr>
        <w:t>１　評価の方法</w:t>
      </w:r>
    </w:p>
    <w:p w14:paraId="6E20ECB9" w14:textId="77777777" w:rsidR="00F72354" w:rsidRDefault="00F72354" w:rsidP="00F72354">
      <w:pPr>
        <w:ind w:leftChars="200" w:left="420" w:firstLineChars="100" w:firstLine="210"/>
        <w:rPr>
          <w:rFonts w:ascii="ＭＳ 明朝" w:hAnsi="ＭＳ 明朝"/>
        </w:rPr>
      </w:pPr>
      <w:r w:rsidRPr="007068D1">
        <w:rPr>
          <w:rFonts w:ascii="ＭＳ 明朝" w:hAnsi="ＭＳ 明朝"/>
          <w:color w:val="000000" w:themeColor="text1"/>
        </w:rPr>
        <w:t>事業年度評価は、</w:t>
      </w:r>
      <w:r w:rsidRPr="007068D1">
        <w:rPr>
          <w:rFonts w:ascii="ＭＳ 明朝" w:hAnsi="ＭＳ 明朝" w:hint="eastAsia"/>
          <w:color w:val="000000" w:themeColor="text1"/>
        </w:rPr>
        <w:t>各事業年度の翌事</w:t>
      </w:r>
      <w:r>
        <w:rPr>
          <w:rFonts w:ascii="ＭＳ 明朝" w:hAnsi="ＭＳ 明朝" w:hint="eastAsia"/>
        </w:rPr>
        <w:t>業年度に</w:t>
      </w:r>
      <w:r w:rsidRPr="007A3098">
        <w:rPr>
          <w:rFonts w:ascii="ＭＳ 明朝" w:hAnsi="ＭＳ 明朝"/>
        </w:rPr>
        <w:t>「小項目評価」「中項目評価」及び「全体評価」により行う。</w:t>
      </w:r>
    </w:p>
    <w:p w14:paraId="002654BF" w14:textId="77777777" w:rsidR="00F72354" w:rsidRPr="007A3098" w:rsidRDefault="00F72354" w:rsidP="00F72354">
      <w:pPr>
        <w:ind w:leftChars="200" w:left="420" w:firstLineChars="100" w:firstLine="210"/>
        <w:rPr>
          <w:rFonts w:ascii="ＭＳ 明朝" w:hAnsi="ＭＳ 明朝"/>
        </w:rPr>
      </w:pPr>
      <w:r w:rsidRPr="007A3098">
        <w:rPr>
          <w:rFonts w:ascii="ＭＳ 明朝" w:hAnsi="ＭＳ 明朝"/>
        </w:rPr>
        <w:t>「小項目評価」では、当該年度の年度計画に掲げる事項ごとに、法人による自己評価の結果をもとに、年度計画の進捗状況や業務実績に関する事実確認をするとともに、法人の自己評価の妥当性の検証と評価を行う。</w:t>
      </w:r>
    </w:p>
    <w:p w14:paraId="598DC747" w14:textId="77777777" w:rsidR="00F72354" w:rsidRDefault="00F72354" w:rsidP="00F72354">
      <w:pPr>
        <w:ind w:leftChars="200" w:left="420" w:firstLineChars="100" w:firstLine="210"/>
        <w:rPr>
          <w:rFonts w:ascii="ＭＳ 明朝" w:hAnsi="ＭＳ 明朝"/>
        </w:rPr>
      </w:pPr>
      <w:r w:rsidRPr="007A3098">
        <w:rPr>
          <w:rFonts w:ascii="ＭＳ 明朝" w:hAnsi="ＭＳ 明朝"/>
        </w:rPr>
        <w:t>「中項目評価」では、当該期間の中期目標に掲げる事項ごとに、「小項目評価」の結果や、年度計画及び中期計画の全体的な進捗状況を踏まえ</w:t>
      </w:r>
      <w:r>
        <w:rPr>
          <w:rFonts w:ascii="ＭＳ 明朝" w:hAnsi="ＭＳ 明朝" w:hint="eastAsia"/>
        </w:rPr>
        <w:t>、</w:t>
      </w:r>
      <w:r w:rsidRPr="007A3098">
        <w:rPr>
          <w:rFonts w:ascii="ＭＳ 明朝" w:hAnsi="ＭＳ 明朝"/>
        </w:rPr>
        <w:t>評価を行う。</w:t>
      </w:r>
    </w:p>
    <w:p w14:paraId="2F22C8DC" w14:textId="77777777" w:rsidR="00F72354" w:rsidRDefault="00F72354" w:rsidP="00F72354">
      <w:pPr>
        <w:ind w:leftChars="200" w:left="420" w:firstLineChars="100" w:firstLine="210"/>
        <w:rPr>
          <w:rFonts w:ascii="ＭＳ 明朝" w:hAnsi="ＭＳ 明朝"/>
        </w:rPr>
      </w:pPr>
      <w:r w:rsidRPr="007A3098">
        <w:rPr>
          <w:rFonts w:ascii="ＭＳ 明朝" w:hAnsi="ＭＳ 明朝"/>
        </w:rPr>
        <w:t>「全体評価」では、「小項目評価」及び「中項目評価」の結果等を踏まえ、当該事業年度における中期目標の達成に向けた進捗状況について、記述式による総合的な評価を行う。</w:t>
      </w:r>
    </w:p>
    <w:p w14:paraId="64806E85" w14:textId="77777777" w:rsidR="00F72354" w:rsidRDefault="00F72354" w:rsidP="00F72354">
      <w:pPr>
        <w:ind w:firstLineChars="100" w:firstLine="210"/>
        <w:rPr>
          <w:rFonts w:ascii="ＭＳ 明朝" w:hAnsi="ＭＳ 明朝"/>
        </w:rPr>
      </w:pPr>
    </w:p>
    <w:p w14:paraId="2E1CD2E9" w14:textId="77777777" w:rsidR="00F72354" w:rsidRPr="007A3098" w:rsidRDefault="00F72354" w:rsidP="00F72354">
      <w:pPr>
        <w:ind w:firstLineChars="100" w:firstLine="210"/>
        <w:rPr>
          <w:rFonts w:ascii="ＭＳ 明朝" w:hAnsi="ＭＳ 明朝"/>
        </w:rPr>
      </w:pPr>
      <w:r w:rsidRPr="007A3098">
        <w:rPr>
          <w:rFonts w:ascii="ＭＳ 明朝" w:hAnsi="ＭＳ 明朝"/>
        </w:rPr>
        <w:t>２　具体的な評価の進め方</w:t>
      </w:r>
    </w:p>
    <w:p w14:paraId="22D41262" w14:textId="77777777" w:rsidR="00F72354" w:rsidRPr="007A3098" w:rsidRDefault="00F72354" w:rsidP="00F72354">
      <w:pPr>
        <w:ind w:firstLineChars="100" w:firstLine="210"/>
        <w:rPr>
          <w:rFonts w:ascii="ＭＳ 明朝" w:hAnsi="ＭＳ 明朝"/>
        </w:rPr>
      </w:pPr>
      <w:r w:rsidRPr="007A3098">
        <w:rPr>
          <w:rFonts w:ascii="ＭＳ 明朝" w:hAnsi="ＭＳ 明朝"/>
        </w:rPr>
        <w:t>（１）「小項目評価」「中項目評価」について</w:t>
      </w:r>
    </w:p>
    <w:p w14:paraId="3CD1F5FF" w14:textId="77777777" w:rsidR="00F72354" w:rsidRDefault="00F72354" w:rsidP="00F72354">
      <w:pPr>
        <w:rPr>
          <w:rFonts w:ascii="ＭＳ 明朝" w:hAnsi="ＭＳ 明朝"/>
        </w:rPr>
      </w:pPr>
      <w:r w:rsidRPr="007A3098">
        <w:rPr>
          <w:rFonts w:ascii="ＭＳ 明朝" w:hAnsi="ＭＳ 明朝" w:hint="eastAsia"/>
        </w:rPr>
        <w:t xml:space="preserve">　</w:t>
      </w:r>
      <w:r>
        <w:rPr>
          <w:rFonts w:ascii="ＭＳ 明朝" w:hAnsi="ＭＳ 明朝" w:hint="eastAsia"/>
        </w:rPr>
        <w:t xml:space="preserve">　　　</w:t>
      </w:r>
      <w:r w:rsidRPr="007A3098">
        <w:rPr>
          <w:rFonts w:ascii="ＭＳ 明朝" w:hAnsi="ＭＳ 明朝" w:hint="eastAsia"/>
        </w:rPr>
        <w:t>「小項目」「中項目」につき、その達成度を</w:t>
      </w:r>
      <w:r w:rsidRPr="007A3098">
        <w:rPr>
          <w:rFonts w:ascii="ＭＳ 明朝" w:hAnsi="ＭＳ 明朝"/>
        </w:rPr>
        <w:t>5段階で評価を行う。</w:t>
      </w:r>
    </w:p>
    <w:p w14:paraId="5DD6FA8C" w14:textId="77777777" w:rsidR="00F72354" w:rsidRDefault="00F72354" w:rsidP="00F72354">
      <w:pPr>
        <w:ind w:leftChars="300" w:left="840" w:hangingChars="100" w:hanging="210"/>
        <w:rPr>
          <w:rFonts w:ascii="ＭＳ 明朝" w:hAnsi="ＭＳ 明朝"/>
        </w:rPr>
      </w:pPr>
      <w:r w:rsidRPr="007A3098">
        <w:rPr>
          <w:rFonts w:ascii="ＭＳ 明朝" w:hAnsi="ＭＳ 明朝"/>
        </w:rPr>
        <w:lastRenderedPageBreak/>
        <w:t>ア　法人は、各事業年度の終了後3か月以内に各館ごとの自己評価を基に作成した当該事業年度における業務実績の自己評価結果を、経済戦略局に提出する。</w:t>
      </w:r>
    </w:p>
    <w:p w14:paraId="1B56AE92" w14:textId="12EC2951" w:rsidR="00F72354" w:rsidRDefault="00F72354" w:rsidP="00F72354">
      <w:pPr>
        <w:ind w:leftChars="400" w:left="1050" w:hangingChars="100" w:hanging="210"/>
        <w:rPr>
          <w:rFonts w:ascii="ＭＳ 明朝" w:hAnsi="ＭＳ 明朝"/>
        </w:rPr>
      </w:pPr>
      <w:r>
        <w:rPr>
          <w:rFonts w:ascii="ＭＳ 明朝" w:hAnsi="ＭＳ 明朝" w:hint="eastAsia"/>
        </w:rPr>
        <w:t xml:space="preserve">(ｱ) </w:t>
      </w:r>
      <w:r w:rsidRPr="007A3098">
        <w:rPr>
          <w:rFonts w:ascii="ＭＳ 明朝" w:hAnsi="ＭＳ 明朝"/>
        </w:rPr>
        <w:t>法人は、年度計画の</w:t>
      </w:r>
      <w:r w:rsidR="004C4775">
        <w:rPr>
          <w:rFonts w:ascii="ＭＳ 明朝" w:hAnsi="ＭＳ 明朝" w:hint="eastAsia"/>
        </w:rPr>
        <w:t>「</w:t>
      </w:r>
      <w:r w:rsidRPr="007A3098">
        <w:rPr>
          <w:rFonts w:ascii="ＭＳ 明朝" w:hAnsi="ＭＳ 明朝"/>
        </w:rPr>
        <w:t>中項目</w:t>
      </w:r>
      <w:r w:rsidR="004C4775">
        <w:rPr>
          <w:rFonts w:ascii="ＭＳ 明朝" w:hAnsi="ＭＳ 明朝" w:hint="eastAsia"/>
        </w:rPr>
        <w:t>」</w:t>
      </w:r>
      <w:r w:rsidRPr="007A3098">
        <w:rPr>
          <w:rFonts w:ascii="ＭＳ 明朝" w:hAnsi="ＭＳ 明朝"/>
        </w:rPr>
        <w:t>ごとの進捗状況について１～５の５段階で自己評価を行い、業務実績報告書を作成する。評価にあたっては、定量的な指標に基づき行うことを基本とした上で実施する。</w:t>
      </w:r>
    </w:p>
    <w:p w14:paraId="6773C51E" w14:textId="77777777" w:rsidR="00F72354" w:rsidRDefault="00F72354" w:rsidP="00F72354">
      <w:pPr>
        <w:ind w:leftChars="400" w:left="1050" w:hangingChars="100" w:hanging="210"/>
        <w:rPr>
          <w:rFonts w:ascii="ＭＳ 明朝" w:hAnsi="ＭＳ 明朝"/>
        </w:rPr>
      </w:pPr>
      <w:r>
        <w:rPr>
          <w:rFonts w:ascii="ＭＳ 明朝" w:hAnsi="ＭＳ 明朝" w:hint="eastAsia"/>
        </w:rPr>
        <w:t xml:space="preserve">(ｲ) </w:t>
      </w:r>
      <w:r w:rsidRPr="007A3098">
        <w:rPr>
          <w:rFonts w:ascii="ＭＳ 明朝" w:hAnsi="ＭＳ 明朝"/>
        </w:rPr>
        <w:t>業務実績報告書には、自己評価のほか、評価の判断理由（実施状況等）など、特筆すべき取組や遅れている取組の理由、法人運営を円滑に進めるための工夫、今後の課題等を記載する。</w:t>
      </w:r>
    </w:p>
    <w:p w14:paraId="5F5E04EF" w14:textId="77777777" w:rsidR="00F72354" w:rsidRDefault="00F72354" w:rsidP="00F72354">
      <w:pPr>
        <w:ind w:leftChars="400" w:left="1050" w:hangingChars="100" w:hanging="210"/>
        <w:rPr>
          <w:rFonts w:ascii="ＭＳ 明朝" w:hAnsi="ＭＳ 明朝"/>
        </w:rPr>
      </w:pPr>
      <w:r>
        <w:rPr>
          <w:rFonts w:ascii="ＭＳ 明朝" w:hAnsi="ＭＳ 明朝" w:hint="eastAsia"/>
        </w:rPr>
        <w:t xml:space="preserve">(ｳ) </w:t>
      </w:r>
      <w:r w:rsidRPr="007A3098">
        <w:rPr>
          <w:rFonts w:ascii="ＭＳ 明朝" w:hAnsi="ＭＳ 明朝"/>
        </w:rPr>
        <w:t>自己評価の区分は次のとおりとする。</w:t>
      </w:r>
    </w:p>
    <w:p w14:paraId="34F03A63" w14:textId="77777777" w:rsidR="00F72354" w:rsidRDefault="00F72354" w:rsidP="00F72354">
      <w:pPr>
        <w:ind w:firstLineChars="600" w:firstLine="1260"/>
        <w:rPr>
          <w:rFonts w:ascii="ＭＳ 明朝" w:hAnsi="ＭＳ 明朝"/>
        </w:rPr>
      </w:pPr>
      <w:r w:rsidRPr="007A3098">
        <w:rPr>
          <w:rFonts w:ascii="ＭＳ 明朝" w:hAnsi="ＭＳ 明朝"/>
        </w:rPr>
        <w:t>５</w:t>
      </w:r>
      <w:r>
        <w:rPr>
          <w:rFonts w:ascii="ＭＳ 明朝" w:hAnsi="ＭＳ 明朝" w:hint="eastAsia"/>
        </w:rPr>
        <w:t>：</w:t>
      </w:r>
      <w:r w:rsidRPr="007A3098">
        <w:rPr>
          <w:rFonts w:ascii="ＭＳ 明朝" w:hAnsi="ＭＳ 明朝"/>
        </w:rPr>
        <w:t>年度計画を大幅に上回って実施している</w:t>
      </w:r>
    </w:p>
    <w:p w14:paraId="7EFCC193" w14:textId="77777777" w:rsidR="00F72354" w:rsidRDefault="00F72354" w:rsidP="00F72354">
      <w:pPr>
        <w:ind w:firstLineChars="600" w:firstLine="1260"/>
        <w:rPr>
          <w:rFonts w:ascii="ＭＳ 明朝" w:hAnsi="ＭＳ 明朝"/>
        </w:rPr>
      </w:pPr>
      <w:r w:rsidRPr="007A3098">
        <w:rPr>
          <w:rFonts w:ascii="ＭＳ 明朝" w:hAnsi="ＭＳ 明朝"/>
        </w:rPr>
        <w:t>４</w:t>
      </w:r>
      <w:r>
        <w:rPr>
          <w:rFonts w:ascii="ＭＳ 明朝" w:hAnsi="ＭＳ 明朝" w:hint="eastAsia"/>
        </w:rPr>
        <w:t>：</w:t>
      </w:r>
      <w:r w:rsidRPr="007A3098">
        <w:rPr>
          <w:rFonts w:ascii="ＭＳ 明朝" w:hAnsi="ＭＳ 明朝"/>
        </w:rPr>
        <w:t>年度計画を上回って実施している</w:t>
      </w:r>
    </w:p>
    <w:p w14:paraId="419B2DE5" w14:textId="77777777" w:rsidR="00F72354" w:rsidRDefault="00F72354" w:rsidP="00F72354">
      <w:pPr>
        <w:ind w:firstLineChars="600" w:firstLine="1260"/>
        <w:rPr>
          <w:rFonts w:ascii="ＭＳ 明朝" w:hAnsi="ＭＳ 明朝"/>
        </w:rPr>
      </w:pPr>
      <w:r w:rsidRPr="007A3098">
        <w:rPr>
          <w:rFonts w:ascii="ＭＳ 明朝" w:hAnsi="ＭＳ 明朝"/>
        </w:rPr>
        <w:t>３</w:t>
      </w:r>
      <w:r>
        <w:rPr>
          <w:rFonts w:ascii="ＭＳ 明朝" w:hAnsi="ＭＳ 明朝" w:hint="eastAsia"/>
        </w:rPr>
        <w:t>：</w:t>
      </w:r>
      <w:r w:rsidRPr="007A3098">
        <w:rPr>
          <w:rFonts w:ascii="ＭＳ 明朝" w:hAnsi="ＭＳ 明朝"/>
        </w:rPr>
        <w:t>年度計画どおり順調に実施している</w:t>
      </w:r>
    </w:p>
    <w:p w14:paraId="793C9004" w14:textId="77777777" w:rsidR="00F72354" w:rsidRDefault="00F72354" w:rsidP="00F72354">
      <w:pPr>
        <w:ind w:firstLineChars="600" w:firstLine="1260"/>
        <w:rPr>
          <w:rFonts w:ascii="ＭＳ 明朝" w:hAnsi="ＭＳ 明朝"/>
        </w:rPr>
      </w:pPr>
      <w:r w:rsidRPr="007A3098">
        <w:rPr>
          <w:rFonts w:ascii="ＭＳ 明朝" w:hAnsi="ＭＳ 明朝"/>
        </w:rPr>
        <w:t>２</w:t>
      </w:r>
      <w:r>
        <w:rPr>
          <w:rFonts w:ascii="ＭＳ 明朝" w:hAnsi="ＭＳ 明朝" w:hint="eastAsia"/>
        </w:rPr>
        <w:t>：</w:t>
      </w:r>
      <w:r w:rsidRPr="007A3098">
        <w:rPr>
          <w:rFonts w:ascii="ＭＳ 明朝" w:hAnsi="ＭＳ 明朝"/>
        </w:rPr>
        <w:t>年度計画を十分に実施できていない</w:t>
      </w:r>
    </w:p>
    <w:p w14:paraId="236DE3E3" w14:textId="77777777" w:rsidR="00F72354" w:rsidRDefault="00F72354" w:rsidP="00F72354">
      <w:pPr>
        <w:ind w:firstLineChars="600" w:firstLine="1260"/>
        <w:rPr>
          <w:rFonts w:ascii="ＭＳ 明朝" w:hAnsi="ＭＳ 明朝"/>
        </w:rPr>
      </w:pPr>
      <w:r w:rsidRPr="007A3098">
        <w:rPr>
          <w:rFonts w:ascii="ＭＳ 明朝" w:hAnsi="ＭＳ 明朝"/>
        </w:rPr>
        <w:t>１</w:t>
      </w:r>
      <w:r>
        <w:rPr>
          <w:rFonts w:ascii="ＭＳ 明朝" w:hAnsi="ＭＳ 明朝" w:hint="eastAsia"/>
        </w:rPr>
        <w:t>：</w:t>
      </w:r>
      <w:r w:rsidRPr="007A3098">
        <w:rPr>
          <w:rFonts w:ascii="ＭＳ 明朝" w:hAnsi="ＭＳ 明朝"/>
        </w:rPr>
        <w:t>年度計画を実施できていない（未実施）</w:t>
      </w:r>
    </w:p>
    <w:p w14:paraId="49CC4DD0" w14:textId="77777777" w:rsidR="00F72354" w:rsidRDefault="00F72354" w:rsidP="00F72354">
      <w:pPr>
        <w:ind w:firstLineChars="300" w:firstLine="630"/>
        <w:rPr>
          <w:rFonts w:ascii="ＭＳ 明朝" w:hAnsi="ＭＳ 明朝"/>
        </w:rPr>
      </w:pPr>
      <w:r w:rsidRPr="007A3098">
        <w:rPr>
          <w:rFonts w:ascii="ＭＳ 明朝" w:hAnsi="ＭＳ 明朝"/>
        </w:rPr>
        <w:t>イ　経済戦略局において、法人による自己評価に対する市長評価（案）を作成する</w:t>
      </w:r>
      <w:r>
        <w:rPr>
          <w:rFonts w:ascii="ＭＳ 明朝" w:hAnsi="ＭＳ 明朝" w:hint="eastAsia"/>
        </w:rPr>
        <w:t>。</w:t>
      </w:r>
    </w:p>
    <w:p w14:paraId="3DD1EFF1" w14:textId="77777777" w:rsidR="00F72354" w:rsidRDefault="00F72354" w:rsidP="00F72354">
      <w:pPr>
        <w:ind w:leftChars="400" w:left="840" w:firstLineChars="100" w:firstLine="210"/>
        <w:rPr>
          <w:rFonts w:ascii="ＭＳ 明朝" w:hAnsi="ＭＳ 明朝"/>
        </w:rPr>
      </w:pPr>
      <w:r w:rsidRPr="007A3098">
        <w:rPr>
          <w:rFonts w:ascii="ＭＳ 明朝" w:hAnsi="ＭＳ 明朝"/>
        </w:rPr>
        <w:t>経済戦略局において、法人の自己評価、目標設定の妥当性及び目標への取組等を総合的に検証し、年度計画の進捗状況について、１～５の５段階による評価を行う。</w:t>
      </w:r>
    </w:p>
    <w:p w14:paraId="39EEC00D" w14:textId="77777777" w:rsidR="00F72354" w:rsidRDefault="00F72354" w:rsidP="00F72354">
      <w:pPr>
        <w:ind w:firstLineChars="400" w:firstLine="840"/>
        <w:rPr>
          <w:rFonts w:ascii="ＭＳ 明朝" w:hAnsi="ＭＳ 明朝"/>
        </w:rPr>
      </w:pPr>
      <w:r>
        <w:rPr>
          <w:rFonts w:ascii="ＭＳ 明朝" w:hAnsi="ＭＳ 明朝" w:hint="eastAsia"/>
        </w:rPr>
        <w:t xml:space="preserve">(ｱ) </w:t>
      </w:r>
      <w:r w:rsidRPr="007A3098">
        <w:rPr>
          <w:rFonts w:ascii="ＭＳ 明朝" w:hAnsi="ＭＳ 明朝"/>
        </w:rPr>
        <w:t>評価区分は、法人の自己評価の</w:t>
      </w:r>
      <w:r>
        <w:rPr>
          <w:rFonts w:ascii="ＭＳ 明朝" w:hAnsi="ＭＳ 明朝" w:hint="eastAsia"/>
        </w:rPr>
        <w:t>区分</w:t>
      </w:r>
      <w:r w:rsidRPr="007A3098">
        <w:rPr>
          <w:rFonts w:ascii="ＭＳ 明朝" w:hAnsi="ＭＳ 明朝"/>
        </w:rPr>
        <w:t>と同様とする。</w:t>
      </w:r>
    </w:p>
    <w:p w14:paraId="174A81DA" w14:textId="77777777" w:rsidR="00F72354" w:rsidRDefault="00F72354" w:rsidP="00F72354">
      <w:pPr>
        <w:ind w:leftChars="400" w:left="1050" w:hangingChars="100" w:hanging="210"/>
        <w:rPr>
          <w:rFonts w:ascii="ＭＳ 明朝" w:hAnsi="ＭＳ 明朝"/>
        </w:rPr>
      </w:pPr>
      <w:r>
        <w:rPr>
          <w:rFonts w:ascii="ＭＳ 明朝" w:hAnsi="ＭＳ 明朝" w:hint="eastAsia"/>
        </w:rPr>
        <w:t xml:space="preserve">(ｲ) </w:t>
      </w:r>
      <w:r w:rsidRPr="007A3098">
        <w:rPr>
          <w:rFonts w:ascii="ＭＳ 明朝" w:hAnsi="ＭＳ 明朝"/>
        </w:rPr>
        <w:t>市長による評価と法人の自己評価が異なる場合は、市長</w:t>
      </w:r>
      <w:r>
        <w:rPr>
          <w:rFonts w:ascii="ＭＳ 明朝" w:hAnsi="ＭＳ 明朝" w:hint="eastAsia"/>
        </w:rPr>
        <w:t>による</w:t>
      </w:r>
      <w:r w:rsidRPr="007A3098">
        <w:rPr>
          <w:rFonts w:ascii="ＭＳ 明朝" w:hAnsi="ＭＳ 明朝"/>
        </w:rPr>
        <w:t>評価</w:t>
      </w:r>
      <w:r>
        <w:rPr>
          <w:rFonts w:ascii="ＭＳ 明朝" w:hAnsi="ＭＳ 明朝" w:hint="eastAsia"/>
        </w:rPr>
        <w:t>で</w:t>
      </w:r>
      <w:r w:rsidRPr="007A3098">
        <w:rPr>
          <w:rFonts w:ascii="ＭＳ 明朝" w:hAnsi="ＭＳ 明朝"/>
        </w:rPr>
        <w:t>判断理由等を示す。また、必要に応じて、特筆すべき点や遅れている点についてコメントを付す。</w:t>
      </w:r>
    </w:p>
    <w:p w14:paraId="2064347B" w14:textId="77777777" w:rsidR="00F72354" w:rsidRPr="007A3098" w:rsidRDefault="00F72354" w:rsidP="00F72354">
      <w:pPr>
        <w:tabs>
          <w:tab w:val="left" w:pos="567"/>
        </w:tabs>
        <w:ind w:firstLineChars="100" w:firstLine="210"/>
        <w:rPr>
          <w:rFonts w:ascii="ＭＳ 明朝" w:hAnsi="ＭＳ 明朝"/>
        </w:rPr>
      </w:pPr>
      <w:r w:rsidRPr="007A3098">
        <w:rPr>
          <w:rFonts w:ascii="ＭＳ 明朝" w:hAnsi="ＭＳ 明朝"/>
        </w:rPr>
        <w:t>（２）「全体評価」について</w:t>
      </w:r>
    </w:p>
    <w:p w14:paraId="3F3E1392" w14:textId="77777777" w:rsidR="00F72354" w:rsidRPr="00834FDA" w:rsidRDefault="00F72354" w:rsidP="00F72354">
      <w:pPr>
        <w:tabs>
          <w:tab w:val="left" w:pos="851"/>
        </w:tabs>
        <w:ind w:left="630" w:hangingChars="300" w:hanging="630"/>
        <w:rPr>
          <w:rFonts w:ascii="ＭＳ 明朝" w:hAnsi="ＭＳ 明朝"/>
        </w:rPr>
      </w:pPr>
      <w:r w:rsidRPr="007A3098">
        <w:rPr>
          <w:rFonts w:ascii="ＭＳ 明朝" w:hAnsi="ＭＳ 明朝" w:hint="eastAsia"/>
        </w:rPr>
        <w:t xml:space="preserve">　</w:t>
      </w:r>
      <w:r>
        <w:rPr>
          <w:rFonts w:ascii="ＭＳ 明朝" w:hAnsi="ＭＳ 明朝" w:hint="eastAsia"/>
        </w:rPr>
        <w:t xml:space="preserve">　　　</w:t>
      </w:r>
      <w:r w:rsidRPr="00834FDA">
        <w:rPr>
          <w:rFonts w:ascii="ＭＳ 明朝" w:hAnsi="ＭＳ 明朝"/>
        </w:rPr>
        <w:t>経済戦略局において、各小中項目の評価結果や中期目標の達成に向けた進捗状況を踏まえ</w:t>
      </w:r>
      <w:r>
        <w:rPr>
          <w:rFonts w:ascii="ＭＳ 明朝" w:hAnsi="ＭＳ 明朝" w:hint="eastAsia"/>
        </w:rPr>
        <w:t>、総合的な評価を「全体評価」として</w:t>
      </w:r>
      <w:r w:rsidRPr="00834FDA">
        <w:rPr>
          <w:rFonts w:ascii="ＭＳ 明朝" w:hAnsi="ＭＳ 明朝"/>
        </w:rPr>
        <w:t>記述式で市長評価（案）を作成する。なお、評価項目にはない事項でも中期目標の達成に資するものは、ここで評価を行う。</w:t>
      </w:r>
    </w:p>
    <w:p w14:paraId="4B81AD6B" w14:textId="77777777" w:rsidR="00F72354" w:rsidRPr="00834FDA" w:rsidRDefault="00F72354" w:rsidP="00F72354">
      <w:pPr>
        <w:tabs>
          <w:tab w:val="left" w:pos="709"/>
          <w:tab w:val="left" w:pos="993"/>
        </w:tabs>
        <w:ind w:firstLineChars="100" w:firstLine="210"/>
        <w:rPr>
          <w:rFonts w:ascii="ＭＳ 明朝" w:hAnsi="ＭＳ 明朝"/>
        </w:rPr>
      </w:pPr>
      <w:r w:rsidRPr="00834FDA">
        <w:rPr>
          <w:rFonts w:ascii="ＭＳ 明朝" w:hAnsi="ＭＳ 明朝"/>
        </w:rPr>
        <w:t>（３）評価委員会について</w:t>
      </w:r>
    </w:p>
    <w:p w14:paraId="483E5B4D" w14:textId="41DF004D" w:rsidR="00AA525B" w:rsidRDefault="00F72354" w:rsidP="00F72354">
      <w:pPr>
        <w:ind w:leftChars="300" w:left="630" w:firstLineChars="100" w:firstLine="210"/>
        <w:rPr>
          <w:rFonts w:ascii="ＭＳ 明朝" w:hAnsi="ＭＳ 明朝"/>
        </w:rPr>
      </w:pPr>
      <w:r w:rsidRPr="00834FDA">
        <w:rPr>
          <w:rFonts w:ascii="ＭＳ 明朝" w:hAnsi="ＭＳ 明朝"/>
        </w:rPr>
        <w:t>評価委員会を開催し、</w:t>
      </w:r>
      <w:r>
        <w:rPr>
          <w:rFonts w:ascii="ＭＳ 明朝" w:hAnsi="ＭＳ 明朝" w:hint="eastAsia"/>
        </w:rPr>
        <w:t>法人の自己評価に対する</w:t>
      </w:r>
      <w:r w:rsidRPr="00834FDA">
        <w:rPr>
          <w:rFonts w:ascii="ＭＳ 明朝" w:hAnsi="ＭＳ 明朝"/>
        </w:rPr>
        <w:t>市長評価（案）に関して評価委員会が意見を申述する。その意見を踏まえた評価を最終的な評価とする。なお、委員から次期事業年度に向けた改善等の意見があれば、併せて記載する。</w:t>
      </w:r>
    </w:p>
    <w:p w14:paraId="0A680690" w14:textId="5AE2EDEB" w:rsidR="006C6009" w:rsidRDefault="006C6009" w:rsidP="00AA525B">
      <w:pPr>
        <w:ind w:leftChars="300" w:left="630" w:firstLineChars="100" w:firstLine="210"/>
        <w:rPr>
          <w:rFonts w:ascii="ＭＳ 明朝" w:hAnsi="ＭＳ 明朝"/>
        </w:rPr>
      </w:pPr>
    </w:p>
    <w:p w14:paraId="4ECE3EAB" w14:textId="77777777" w:rsidR="006C6009" w:rsidRDefault="006C6009">
      <w:pPr>
        <w:widowControl/>
        <w:jc w:val="left"/>
        <w:rPr>
          <w:rFonts w:ascii="ＭＳ 明朝" w:hAnsi="ＭＳ 明朝"/>
        </w:rPr>
      </w:pPr>
      <w:r>
        <w:rPr>
          <w:rFonts w:ascii="ＭＳ 明朝" w:hAnsi="ＭＳ 明朝"/>
        </w:rPr>
        <w:br w:type="page"/>
      </w:r>
    </w:p>
    <w:p w14:paraId="6B4DEBFF" w14:textId="0AD5D5A5" w:rsidR="001C201E" w:rsidRPr="00F65894" w:rsidRDefault="00544BEF" w:rsidP="001C201E">
      <w:pPr>
        <w:kinsoku w:val="0"/>
        <w:autoSpaceDE w:val="0"/>
        <w:autoSpaceDN w:val="0"/>
        <w:jc w:val="left"/>
        <w:rPr>
          <w:rFonts w:ascii="ＭＳ 明朝" w:hAnsi="ＭＳ 明朝"/>
          <w:b/>
          <w:sz w:val="24"/>
        </w:rPr>
      </w:pPr>
      <w:r w:rsidRPr="00F65894">
        <w:rPr>
          <w:rFonts w:ascii="ＭＳ 明朝" w:hAnsi="ＭＳ 明朝" w:hint="eastAsia"/>
          <w:b/>
          <w:sz w:val="24"/>
        </w:rPr>
        <w:lastRenderedPageBreak/>
        <w:t>２</w:t>
      </w:r>
      <w:r w:rsidR="001C201E" w:rsidRPr="00F65894">
        <w:rPr>
          <w:rFonts w:ascii="ＭＳ 明朝" w:hAnsi="ＭＳ 明朝" w:hint="eastAsia"/>
          <w:b/>
          <w:sz w:val="24"/>
        </w:rPr>
        <w:t xml:space="preserve">　全体評価</w:t>
      </w:r>
    </w:p>
    <w:p w14:paraId="27638821" w14:textId="77777777" w:rsidR="001C201E" w:rsidRPr="00F65894" w:rsidRDefault="001C201E" w:rsidP="001C201E">
      <w:pPr>
        <w:kinsoku w:val="0"/>
        <w:autoSpaceDE w:val="0"/>
        <w:autoSpaceDN w:val="0"/>
        <w:rPr>
          <w:rFonts w:ascii="ＭＳ 明朝" w:hAnsi="ＭＳ 明朝"/>
        </w:rPr>
      </w:pPr>
    </w:p>
    <w:p w14:paraId="306A2272" w14:textId="6D671DDD" w:rsidR="001C201E" w:rsidRPr="00F65894" w:rsidRDefault="001C201E" w:rsidP="006B5C96">
      <w:pPr>
        <w:kinsoku w:val="0"/>
        <w:autoSpaceDE w:val="0"/>
        <w:autoSpaceDN w:val="0"/>
        <w:ind w:left="210" w:hangingChars="100" w:hanging="210"/>
        <w:rPr>
          <w:rFonts w:ascii="ＭＳ 明朝" w:hAnsi="ＭＳ 明朝"/>
          <w:sz w:val="22"/>
        </w:rPr>
      </w:pPr>
      <w:r w:rsidRPr="00F65894">
        <w:rPr>
          <w:rFonts w:ascii="ＭＳ 明朝" w:hAnsi="ＭＳ 明朝" w:hint="eastAsia"/>
        </w:rPr>
        <w:t xml:space="preserve">　</w:t>
      </w:r>
      <w:r w:rsidR="006B5C96" w:rsidRPr="00F65894">
        <w:rPr>
          <w:rFonts w:ascii="ＭＳ 明朝" w:hAnsi="ＭＳ 明朝" w:hint="eastAsia"/>
        </w:rPr>
        <w:t xml:space="preserve">  </w:t>
      </w:r>
      <w:r w:rsidRPr="00F65894">
        <w:rPr>
          <w:rFonts w:ascii="ＭＳ 明朝" w:hAnsi="ＭＳ 明朝" w:hint="eastAsia"/>
          <w:sz w:val="22"/>
        </w:rPr>
        <w:t>以下のとおり項目別評価の結果を踏まえ、大阪市地方独立行政法人大阪市博物館機構評価委員会における評価委員の意見を参考に、令和</w:t>
      </w:r>
      <w:r w:rsidR="00F65894" w:rsidRPr="00F65894">
        <w:rPr>
          <w:rFonts w:ascii="ＭＳ 明朝" w:hAnsi="ＭＳ 明朝" w:hint="eastAsia"/>
          <w:sz w:val="22"/>
        </w:rPr>
        <w:t>６</w:t>
      </w:r>
      <w:r w:rsidR="003F294C" w:rsidRPr="00F65894">
        <w:rPr>
          <w:rFonts w:ascii="ＭＳ 明朝" w:hAnsi="ＭＳ 明朝" w:hint="eastAsia"/>
          <w:sz w:val="22"/>
        </w:rPr>
        <w:t>事業</w:t>
      </w:r>
      <w:r w:rsidRPr="00F65894">
        <w:rPr>
          <w:rFonts w:ascii="ＭＳ 明朝" w:hAnsi="ＭＳ 明朝" w:hint="eastAsia"/>
          <w:sz w:val="22"/>
        </w:rPr>
        <w:t>年度における地方独立行政法人大阪市博物館機構の業務実績に関する全体評価を定めた。</w:t>
      </w:r>
    </w:p>
    <w:p w14:paraId="12DD8B58" w14:textId="77777777" w:rsidR="00127A86" w:rsidRPr="00F65894" w:rsidRDefault="00127A86" w:rsidP="001C201E">
      <w:pPr>
        <w:kinsoku w:val="0"/>
        <w:autoSpaceDE w:val="0"/>
        <w:autoSpaceDN w:val="0"/>
        <w:rPr>
          <w:rFonts w:ascii="ＭＳ 明朝" w:hAnsi="ＭＳ 明朝"/>
        </w:rPr>
      </w:pPr>
    </w:p>
    <w:p w14:paraId="20D6CBB2" w14:textId="77777777" w:rsidR="001C201E" w:rsidRPr="00F65894" w:rsidRDefault="001C201E" w:rsidP="001C201E">
      <w:pPr>
        <w:kinsoku w:val="0"/>
        <w:autoSpaceDE w:val="0"/>
        <w:autoSpaceDN w:val="0"/>
        <w:rPr>
          <w:rFonts w:ascii="ＭＳ 明朝" w:hAnsi="ＭＳ 明朝"/>
        </w:rPr>
      </w:pPr>
      <w:r w:rsidRPr="00F65894">
        <w:rPr>
          <w:rFonts w:ascii="ＭＳ 明朝" w:hAnsi="ＭＳ 明朝"/>
          <w:noProof/>
        </w:rPr>
        <mc:AlternateContent>
          <mc:Choice Requires="wps">
            <w:drawing>
              <wp:anchor distT="0" distB="0" distL="114300" distR="114300" simplePos="0" relativeHeight="251659264" behindDoc="0" locked="0" layoutInCell="1" allowOverlap="1" wp14:anchorId="69803269" wp14:editId="0BCD100F">
                <wp:simplePos x="0" y="0"/>
                <wp:positionH relativeFrom="column">
                  <wp:posOffset>24765</wp:posOffset>
                </wp:positionH>
                <wp:positionV relativeFrom="paragraph">
                  <wp:posOffset>111125</wp:posOffset>
                </wp:positionV>
                <wp:extent cx="5562600" cy="3954780"/>
                <wp:effectExtent l="0" t="0" r="19050" b="266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3954780"/>
                        </a:xfrm>
                        <a:prstGeom prst="rect">
                          <a:avLst/>
                        </a:prstGeom>
                        <a:solidFill>
                          <a:srgbClr val="FFFFFF"/>
                        </a:solidFill>
                        <a:ln w="9525">
                          <a:solidFill>
                            <a:srgbClr val="000000"/>
                          </a:solidFill>
                          <a:miter lim="800000"/>
                          <a:headEnd/>
                          <a:tailEnd/>
                        </a:ln>
                      </wps:spPr>
                      <wps:txbx>
                        <w:txbxContent>
                          <w:p w14:paraId="295E7A08" w14:textId="77777777" w:rsidR="001C201E" w:rsidRPr="00F65894" w:rsidRDefault="001C201E" w:rsidP="001C201E">
                            <w:pPr>
                              <w:kinsoku w:val="0"/>
                              <w:autoSpaceDE w:val="0"/>
                              <w:autoSpaceDN w:val="0"/>
                              <w:ind w:firstLineChars="100" w:firstLine="210"/>
                              <w:rPr>
                                <w:rFonts w:ascii="ＭＳ 明朝" w:hAnsi="ＭＳ 明朝"/>
                              </w:rPr>
                            </w:pPr>
                          </w:p>
                          <w:p w14:paraId="6EFD2418" w14:textId="66D245BD" w:rsidR="00F65894" w:rsidRPr="00F65894" w:rsidRDefault="00F65894" w:rsidP="00F65894">
                            <w:pPr>
                              <w:ind w:firstLineChars="100" w:firstLine="220"/>
                              <w:rPr>
                                <w:rFonts w:ascii="ＭＳ 明朝" w:hAnsi="ＭＳ 明朝"/>
                                <w:sz w:val="22"/>
                                <w:szCs w:val="22"/>
                              </w:rPr>
                            </w:pPr>
                            <w:r w:rsidRPr="00F65894">
                              <w:rPr>
                                <w:rFonts w:ascii="ＭＳ 明朝" w:hAnsi="ＭＳ 明朝" w:hint="eastAsia"/>
                                <w:sz w:val="22"/>
                                <w:szCs w:val="22"/>
                              </w:rPr>
                              <w:t>地独）大阪市博物館機構の令和6事業年度の業務実績について、第２期中期目標期間の初年度であり、大阪・関西万博を翌年に控える中、市立美術館、東洋陶磁美術館、科学館のリニューアルオープン等に取り組み、概ね計画どおりに実施したと評価する。</w:t>
                            </w:r>
                          </w:p>
                          <w:p w14:paraId="005E995E" w14:textId="11974C71" w:rsidR="00F65894" w:rsidRPr="00F65894" w:rsidRDefault="00F65894" w:rsidP="00F65894">
                            <w:pPr>
                              <w:ind w:firstLineChars="100" w:firstLine="220"/>
                              <w:rPr>
                                <w:rFonts w:ascii="ＭＳ 明朝" w:hAnsi="ＭＳ 明朝"/>
                                <w:sz w:val="22"/>
                                <w:szCs w:val="22"/>
                              </w:rPr>
                            </w:pPr>
                            <w:r w:rsidRPr="00F65894">
                              <w:rPr>
                                <w:rFonts w:ascii="ＭＳ 明朝" w:hAnsi="ＭＳ 明朝" w:hint="eastAsia"/>
                                <w:sz w:val="22"/>
                                <w:szCs w:val="22"/>
                              </w:rPr>
                              <w:t>中でも、リニューアルオープン記念展覧会や、各館における常設展、企画展、特別展で年度目標を上回る来館者数の実績をあげたこと、館蔵品のデジタル化、国際的な財団との連携によるアプリの導入によって国際的なプラットフォームに参加しさらに新たな収入の確保にも繋げた点は、高く評価する。さらに、大阪博やデジタル大阪ミュージアムの展開、ユニークベニュー実施における先行事例の各館での共有など、６館一体の取組みも進めた。</w:t>
                            </w:r>
                          </w:p>
                          <w:p w14:paraId="482E6D4F" w14:textId="7ED76ED5" w:rsidR="00F65894" w:rsidRPr="00F65894" w:rsidRDefault="00F65894" w:rsidP="00F65894">
                            <w:pPr>
                              <w:ind w:firstLineChars="100" w:firstLine="220"/>
                              <w:rPr>
                                <w:rFonts w:ascii="ＭＳ 明朝" w:hAnsi="ＭＳ 明朝"/>
                                <w:sz w:val="22"/>
                                <w:szCs w:val="22"/>
                              </w:rPr>
                            </w:pPr>
                            <w:r w:rsidRPr="00F65894">
                              <w:rPr>
                                <w:rFonts w:ascii="ＭＳ 明朝" w:hAnsi="ＭＳ 明朝" w:hint="eastAsia"/>
                                <w:sz w:val="22"/>
                                <w:szCs w:val="22"/>
                              </w:rPr>
                              <w:t>一方で、大阪市博物館機構事務局がガバナンスを効かせた中長期的視点に立った事業の展開や各館を横断した施策の実施、並びに国際的な連携・発信については、大阪・関西万博を契機として更なる取組の実施を求めたい。</w:t>
                            </w:r>
                          </w:p>
                          <w:p w14:paraId="26C2A51E" w14:textId="0ADD1952" w:rsidR="001C201E" w:rsidRPr="00127A86" w:rsidRDefault="00F65894" w:rsidP="00127A86">
                            <w:pPr>
                              <w:ind w:firstLineChars="100" w:firstLine="220"/>
                              <w:rPr>
                                <w:rFonts w:ascii="ＭＳ 明朝" w:hAnsi="ＭＳ 明朝"/>
                                <w:sz w:val="22"/>
                                <w:szCs w:val="22"/>
                              </w:rPr>
                            </w:pPr>
                            <w:r w:rsidRPr="00F65894">
                              <w:rPr>
                                <w:rFonts w:ascii="ＭＳ 明朝" w:hAnsi="ＭＳ 明朝" w:hint="eastAsia"/>
                                <w:sz w:val="22"/>
                                <w:szCs w:val="22"/>
                              </w:rPr>
                              <w:t>今後、博物館等を運営する日本初の地方独立行政法人として、経営と運営の一元化の効果をより発揮し、地方独立行政法人のメリットを最大限に活かした施策を一層進めてもらいたい。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803269" id="_x0000_t202" coordsize="21600,21600" o:spt="202" path="m,l,21600r21600,l21600,xe">
                <v:stroke joinstyle="miter"/>
                <v:path gradientshapeok="t" o:connecttype="rect"/>
              </v:shapetype>
              <v:shape id="テキスト ボックス 1" o:spid="_x0000_s1026" type="#_x0000_t202" style="position:absolute;left:0;text-align:left;margin-left:1.95pt;margin-top:8.75pt;width:438pt;height:3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">
                <v:textbox inset="5.85pt,.7pt,5.85pt,.7pt">
                  <w:txbxContent>
                    <w:p w14:paraId="295E7A08" w14:textId="77777777" w:rsidR="001C201E" w:rsidRPr="00F65894" w:rsidRDefault="001C201E" w:rsidP="001C201E">
                      <w:pPr>
                        <w:kinsoku w:val="0"/>
                        <w:autoSpaceDE w:val="0"/>
                        <w:autoSpaceDN w:val="0"/>
                        <w:ind w:firstLineChars="100" w:firstLine="210"/>
                        <w:rPr>
                          <w:rFonts w:ascii="ＭＳ 明朝" w:hAnsi="ＭＳ 明朝"/>
                        </w:rPr>
                      </w:pPr>
                    </w:p>
                    <w:p w14:paraId="6EFD2418" w14:textId="66D245BD" w:rsidR="00F65894" w:rsidRPr="00F65894" w:rsidRDefault="00F65894" w:rsidP="00F65894">
                      <w:pPr>
                        <w:ind w:firstLineChars="100" w:firstLine="220"/>
                        <w:rPr>
                          <w:rFonts w:ascii="ＭＳ 明朝" w:hAnsi="ＭＳ 明朝"/>
                          <w:sz w:val="22"/>
                          <w:szCs w:val="22"/>
                        </w:rPr>
                      </w:pPr>
                      <w:r w:rsidRPr="00F65894">
                        <w:rPr>
                          <w:rFonts w:ascii="ＭＳ 明朝" w:hAnsi="ＭＳ 明朝" w:hint="eastAsia"/>
                          <w:sz w:val="22"/>
                          <w:szCs w:val="22"/>
                        </w:rPr>
                        <w:t>地独）大阪市博物館機構の令和6事業年度の業務実績について、第２期中期目標期間の初年度であり、大阪・関西万博を翌年に控える中、市立美術館、東洋陶磁美術館、科学館のリニューアルオープン等に取り組み、概ね計画どおりに実施したと評価する。</w:t>
                      </w:r>
                    </w:p>
                    <w:p w14:paraId="005E995E" w14:textId="11974C71" w:rsidR="00F65894" w:rsidRPr="00F65894" w:rsidRDefault="00F65894" w:rsidP="00F65894">
                      <w:pPr>
                        <w:ind w:firstLineChars="100" w:firstLine="220"/>
                        <w:rPr>
                          <w:rFonts w:ascii="ＭＳ 明朝" w:hAnsi="ＭＳ 明朝"/>
                          <w:sz w:val="22"/>
                          <w:szCs w:val="22"/>
                        </w:rPr>
                      </w:pPr>
                      <w:r w:rsidRPr="00F65894">
                        <w:rPr>
                          <w:rFonts w:ascii="ＭＳ 明朝" w:hAnsi="ＭＳ 明朝" w:hint="eastAsia"/>
                          <w:sz w:val="22"/>
                          <w:szCs w:val="22"/>
                        </w:rPr>
                        <w:t>中でも、リニューアルオープン記念展覧会や、各館における常設展、企画展、特別展で年度目標を上回る来館者数の実績をあげたこと、館蔵品のデジタル化、国際的な財団との連携によるアプリの導入によって国際的なプラットフォームに参加しさらに新たな収入の確保にも繋げた点は、高く評価する。さらに、大阪博やデジタル大阪ミュージアムの展開、ユニークベニュー実施における先行事例の各館での共有など、６館一体の取組みも進めた。</w:t>
                      </w:r>
                    </w:p>
                    <w:p w14:paraId="482E6D4F" w14:textId="7ED76ED5" w:rsidR="00F65894" w:rsidRPr="00F65894" w:rsidRDefault="00F65894" w:rsidP="00F65894">
                      <w:pPr>
                        <w:ind w:firstLineChars="100" w:firstLine="220"/>
                        <w:rPr>
                          <w:rFonts w:ascii="ＭＳ 明朝" w:hAnsi="ＭＳ 明朝"/>
                          <w:sz w:val="22"/>
                          <w:szCs w:val="22"/>
                        </w:rPr>
                      </w:pPr>
                      <w:r w:rsidRPr="00F65894">
                        <w:rPr>
                          <w:rFonts w:ascii="ＭＳ 明朝" w:hAnsi="ＭＳ 明朝" w:hint="eastAsia"/>
                          <w:sz w:val="22"/>
                          <w:szCs w:val="22"/>
                        </w:rPr>
                        <w:t>一方で、大阪市博物館機構事務局がガバナンスを効かせた中長期的視点に立った事業の展開や各館を横断した施策の実施、並びに国際的な連携・発信については、大阪・関西万博を契機として更なる取組の実施を求めたい。</w:t>
                      </w:r>
                    </w:p>
                    <w:p w14:paraId="26C2A51E" w14:textId="0ADD1952" w:rsidR="001C201E" w:rsidRPr="00127A86" w:rsidRDefault="00F65894" w:rsidP="00127A86">
                      <w:pPr>
                        <w:ind w:firstLineChars="100" w:firstLine="220"/>
                        <w:rPr>
                          <w:rFonts w:ascii="ＭＳ 明朝" w:hAnsi="ＭＳ 明朝"/>
                          <w:sz w:val="22"/>
                          <w:szCs w:val="22"/>
                        </w:rPr>
                      </w:pPr>
                      <w:r w:rsidRPr="00F65894">
                        <w:rPr>
                          <w:rFonts w:ascii="ＭＳ 明朝" w:hAnsi="ＭＳ 明朝" w:hint="eastAsia"/>
                          <w:sz w:val="22"/>
                          <w:szCs w:val="22"/>
                        </w:rPr>
                        <w:t>今後、博物館等を運営する日本初の地方独立行政法人として、経営と運営の一元化の効果をより発揮し、地方独立行政法人のメリットを最大限に活かした施策を一層進めてもらいたい。</w:t>
                      </w:r>
                    </w:p>
                  </w:txbxContent>
                </v:textbox>
              </v:shape>
            </w:pict>
          </mc:Fallback>
        </mc:AlternateContent>
      </w:r>
    </w:p>
    <w:p w14:paraId="6B512FC6" w14:textId="77777777" w:rsidR="001C201E" w:rsidRPr="00F65894" w:rsidRDefault="001C201E" w:rsidP="001C201E">
      <w:pPr>
        <w:kinsoku w:val="0"/>
        <w:autoSpaceDE w:val="0"/>
        <w:autoSpaceDN w:val="0"/>
        <w:rPr>
          <w:rFonts w:ascii="ＭＳ 明朝" w:hAnsi="ＭＳ 明朝"/>
        </w:rPr>
      </w:pPr>
    </w:p>
    <w:p w14:paraId="24A29D0B" w14:textId="77777777" w:rsidR="001C201E" w:rsidRPr="00F65894" w:rsidRDefault="001C201E" w:rsidP="001C201E">
      <w:pPr>
        <w:kinsoku w:val="0"/>
        <w:autoSpaceDE w:val="0"/>
        <w:autoSpaceDN w:val="0"/>
        <w:rPr>
          <w:rFonts w:ascii="ＭＳ 明朝" w:hAnsi="ＭＳ 明朝"/>
        </w:rPr>
      </w:pPr>
    </w:p>
    <w:p w14:paraId="0D6F67DF" w14:textId="77777777" w:rsidR="001C201E" w:rsidRPr="00F65894" w:rsidRDefault="001C201E" w:rsidP="001C201E">
      <w:pPr>
        <w:kinsoku w:val="0"/>
        <w:autoSpaceDE w:val="0"/>
        <w:autoSpaceDN w:val="0"/>
        <w:rPr>
          <w:rFonts w:ascii="ＭＳ 明朝" w:hAnsi="ＭＳ 明朝"/>
        </w:rPr>
      </w:pPr>
    </w:p>
    <w:p w14:paraId="05F08452" w14:textId="77777777" w:rsidR="001C201E" w:rsidRPr="00F65894" w:rsidRDefault="001C201E" w:rsidP="001C201E">
      <w:pPr>
        <w:kinsoku w:val="0"/>
        <w:autoSpaceDE w:val="0"/>
        <w:autoSpaceDN w:val="0"/>
        <w:rPr>
          <w:rFonts w:ascii="ＭＳ 明朝" w:hAnsi="ＭＳ 明朝"/>
        </w:rPr>
      </w:pPr>
    </w:p>
    <w:p w14:paraId="7710FB01" w14:textId="77777777" w:rsidR="001C201E" w:rsidRPr="00F65894" w:rsidRDefault="001C201E" w:rsidP="001C201E">
      <w:pPr>
        <w:kinsoku w:val="0"/>
        <w:autoSpaceDE w:val="0"/>
        <w:autoSpaceDN w:val="0"/>
        <w:rPr>
          <w:rFonts w:ascii="ＭＳ 明朝" w:hAnsi="ＭＳ 明朝"/>
        </w:rPr>
      </w:pPr>
    </w:p>
    <w:p w14:paraId="617A3E90" w14:textId="77777777" w:rsidR="001C201E" w:rsidRPr="00F65894" w:rsidRDefault="001C201E" w:rsidP="001C201E">
      <w:pPr>
        <w:kinsoku w:val="0"/>
        <w:autoSpaceDE w:val="0"/>
        <w:autoSpaceDN w:val="0"/>
        <w:rPr>
          <w:rFonts w:ascii="ＭＳ 明朝" w:hAnsi="ＭＳ 明朝"/>
        </w:rPr>
      </w:pPr>
    </w:p>
    <w:p w14:paraId="29BEF50D" w14:textId="77777777" w:rsidR="001C201E" w:rsidRPr="00F65894" w:rsidRDefault="001C201E" w:rsidP="001C201E">
      <w:pPr>
        <w:kinsoku w:val="0"/>
        <w:autoSpaceDE w:val="0"/>
        <w:autoSpaceDN w:val="0"/>
        <w:rPr>
          <w:rFonts w:ascii="ＭＳ 明朝" w:hAnsi="ＭＳ 明朝"/>
        </w:rPr>
      </w:pPr>
    </w:p>
    <w:p w14:paraId="1DCBCC4A" w14:textId="77777777" w:rsidR="001C201E" w:rsidRPr="00F65894" w:rsidRDefault="001C201E" w:rsidP="001C201E">
      <w:pPr>
        <w:kinsoku w:val="0"/>
        <w:autoSpaceDE w:val="0"/>
        <w:autoSpaceDN w:val="0"/>
        <w:rPr>
          <w:rFonts w:ascii="ＭＳ 明朝" w:hAnsi="ＭＳ 明朝"/>
        </w:rPr>
      </w:pPr>
    </w:p>
    <w:p w14:paraId="2E69012F" w14:textId="77777777" w:rsidR="001C201E" w:rsidRPr="00F65894" w:rsidRDefault="001C201E" w:rsidP="001C201E">
      <w:pPr>
        <w:kinsoku w:val="0"/>
        <w:autoSpaceDE w:val="0"/>
        <w:autoSpaceDN w:val="0"/>
        <w:rPr>
          <w:rFonts w:ascii="ＭＳ 明朝" w:hAnsi="ＭＳ 明朝"/>
        </w:rPr>
      </w:pPr>
    </w:p>
    <w:p w14:paraId="0D5F3ACC" w14:textId="77777777" w:rsidR="001C201E" w:rsidRPr="00F65894" w:rsidRDefault="001C201E" w:rsidP="001C201E">
      <w:pPr>
        <w:kinsoku w:val="0"/>
        <w:autoSpaceDE w:val="0"/>
        <w:autoSpaceDN w:val="0"/>
        <w:rPr>
          <w:rFonts w:ascii="ＭＳ 明朝" w:hAnsi="ＭＳ 明朝"/>
        </w:rPr>
      </w:pPr>
    </w:p>
    <w:p w14:paraId="195F6BF8" w14:textId="77777777" w:rsidR="001C201E" w:rsidRPr="00F65894" w:rsidRDefault="001C201E" w:rsidP="001C201E">
      <w:pPr>
        <w:kinsoku w:val="0"/>
        <w:autoSpaceDE w:val="0"/>
        <w:autoSpaceDN w:val="0"/>
        <w:rPr>
          <w:rFonts w:ascii="ＭＳ 明朝" w:hAnsi="ＭＳ 明朝"/>
        </w:rPr>
      </w:pPr>
    </w:p>
    <w:p w14:paraId="7CBDC3FC" w14:textId="77777777" w:rsidR="001C201E" w:rsidRPr="00F65894" w:rsidRDefault="001C201E" w:rsidP="001C201E">
      <w:pPr>
        <w:kinsoku w:val="0"/>
        <w:autoSpaceDE w:val="0"/>
        <w:autoSpaceDN w:val="0"/>
        <w:rPr>
          <w:rFonts w:ascii="ＭＳ 明朝" w:hAnsi="ＭＳ 明朝"/>
        </w:rPr>
      </w:pPr>
    </w:p>
    <w:p w14:paraId="171491E9" w14:textId="77777777" w:rsidR="001C201E" w:rsidRPr="00F65894" w:rsidRDefault="001C201E" w:rsidP="001C201E">
      <w:pPr>
        <w:kinsoku w:val="0"/>
        <w:autoSpaceDE w:val="0"/>
        <w:autoSpaceDN w:val="0"/>
        <w:rPr>
          <w:rFonts w:ascii="ＭＳ 明朝" w:hAnsi="ＭＳ 明朝"/>
        </w:rPr>
      </w:pPr>
    </w:p>
    <w:p w14:paraId="0B2E58C3" w14:textId="77777777" w:rsidR="001C201E" w:rsidRPr="00F65894" w:rsidRDefault="001C201E" w:rsidP="001C201E">
      <w:pPr>
        <w:kinsoku w:val="0"/>
        <w:autoSpaceDE w:val="0"/>
        <w:autoSpaceDN w:val="0"/>
        <w:rPr>
          <w:rFonts w:ascii="ＭＳ 明朝" w:hAnsi="ＭＳ 明朝"/>
        </w:rPr>
      </w:pPr>
    </w:p>
    <w:p w14:paraId="0C0FDE66" w14:textId="77777777" w:rsidR="001C201E" w:rsidRPr="00F65894" w:rsidRDefault="001C201E" w:rsidP="001C201E">
      <w:pPr>
        <w:kinsoku w:val="0"/>
        <w:autoSpaceDE w:val="0"/>
        <w:autoSpaceDN w:val="0"/>
        <w:rPr>
          <w:rFonts w:ascii="ＭＳ 明朝" w:hAnsi="ＭＳ 明朝"/>
        </w:rPr>
      </w:pPr>
    </w:p>
    <w:p w14:paraId="57D3B350" w14:textId="77777777" w:rsidR="001C201E" w:rsidRPr="00F65894" w:rsidRDefault="001C201E" w:rsidP="001C201E">
      <w:pPr>
        <w:kinsoku w:val="0"/>
        <w:autoSpaceDE w:val="0"/>
        <w:autoSpaceDN w:val="0"/>
        <w:rPr>
          <w:rFonts w:ascii="ＭＳ 明朝" w:hAnsi="ＭＳ 明朝"/>
        </w:rPr>
      </w:pPr>
    </w:p>
    <w:p w14:paraId="6F92F01B" w14:textId="77777777" w:rsidR="001C201E" w:rsidRPr="00F65894" w:rsidRDefault="001C201E" w:rsidP="001C201E">
      <w:pPr>
        <w:kinsoku w:val="0"/>
        <w:autoSpaceDE w:val="0"/>
        <w:autoSpaceDN w:val="0"/>
        <w:rPr>
          <w:rFonts w:ascii="ＭＳ 明朝" w:hAnsi="ＭＳ 明朝"/>
        </w:rPr>
      </w:pPr>
    </w:p>
    <w:p w14:paraId="24460440" w14:textId="32C2B017" w:rsidR="00172318" w:rsidRPr="00F65894" w:rsidRDefault="00172318" w:rsidP="001C201E">
      <w:pPr>
        <w:kinsoku w:val="0"/>
        <w:autoSpaceDE w:val="0"/>
        <w:autoSpaceDN w:val="0"/>
        <w:rPr>
          <w:rFonts w:ascii="ＭＳ 明朝" w:hAnsi="ＭＳ 明朝"/>
        </w:rPr>
      </w:pPr>
    </w:p>
    <w:p w14:paraId="29A8D24D" w14:textId="77777777" w:rsidR="00FC548C" w:rsidRPr="00F65894" w:rsidRDefault="00FC548C" w:rsidP="001C201E">
      <w:pPr>
        <w:kinsoku w:val="0"/>
        <w:autoSpaceDE w:val="0"/>
        <w:autoSpaceDN w:val="0"/>
        <w:jc w:val="left"/>
        <w:rPr>
          <w:rFonts w:ascii="ＭＳ 明朝" w:hAnsi="ＭＳ 明朝"/>
          <w:b/>
          <w:sz w:val="24"/>
        </w:rPr>
      </w:pPr>
    </w:p>
    <w:p w14:paraId="1C400A55" w14:textId="6CDE5B69" w:rsidR="001C201E" w:rsidRPr="00F65894" w:rsidRDefault="00544BEF" w:rsidP="001C201E">
      <w:pPr>
        <w:kinsoku w:val="0"/>
        <w:autoSpaceDE w:val="0"/>
        <w:autoSpaceDN w:val="0"/>
        <w:jc w:val="left"/>
        <w:rPr>
          <w:rFonts w:ascii="ＭＳ 明朝" w:hAnsi="ＭＳ 明朝"/>
          <w:b/>
          <w:sz w:val="24"/>
        </w:rPr>
      </w:pPr>
      <w:r w:rsidRPr="00F65894">
        <w:rPr>
          <w:rFonts w:ascii="ＭＳ 明朝" w:hAnsi="ＭＳ 明朝" w:hint="eastAsia"/>
          <w:b/>
          <w:sz w:val="24"/>
        </w:rPr>
        <w:t>３</w:t>
      </w:r>
      <w:r w:rsidR="001C201E" w:rsidRPr="00F65894">
        <w:rPr>
          <w:rFonts w:ascii="ＭＳ 明朝" w:hAnsi="ＭＳ 明朝" w:hint="eastAsia"/>
          <w:b/>
          <w:sz w:val="24"/>
        </w:rPr>
        <w:t xml:space="preserve">　項目別評価</w:t>
      </w:r>
    </w:p>
    <w:p w14:paraId="5FD921B7" w14:textId="5725DDF5" w:rsidR="001C201E" w:rsidRPr="00F65894" w:rsidRDefault="001C201E" w:rsidP="001C201E">
      <w:pPr>
        <w:kinsoku w:val="0"/>
        <w:autoSpaceDE w:val="0"/>
        <w:autoSpaceDN w:val="0"/>
        <w:rPr>
          <w:rFonts w:ascii="ＭＳ 明朝" w:hAnsi="ＭＳ 明朝"/>
        </w:rPr>
      </w:pPr>
      <w:r w:rsidRPr="00F65894">
        <w:rPr>
          <w:rFonts w:ascii="ＭＳ 明朝" w:hAnsi="ＭＳ 明朝" w:hint="eastAsia"/>
        </w:rPr>
        <w:t xml:space="preserve">　　</w:t>
      </w:r>
      <w:r w:rsidR="00DC10C1" w:rsidRPr="00F65894">
        <w:rPr>
          <w:rFonts w:ascii="ＭＳ 明朝" w:hAnsi="ＭＳ 明朝" w:hint="eastAsia"/>
        </w:rPr>
        <w:t xml:space="preserve">　</w:t>
      </w:r>
    </w:p>
    <w:p w14:paraId="46131C36" w14:textId="25FFFAA2" w:rsidR="00047BD2" w:rsidRDefault="001C201E" w:rsidP="00172318">
      <w:pPr>
        <w:kinsoku w:val="0"/>
        <w:autoSpaceDE w:val="0"/>
        <w:autoSpaceDN w:val="0"/>
        <w:ind w:firstLineChars="200" w:firstLine="440"/>
        <w:rPr>
          <w:rFonts w:ascii="ＭＳ 明朝" w:hAnsi="ＭＳ 明朝"/>
          <w:sz w:val="22"/>
        </w:rPr>
      </w:pPr>
      <w:r w:rsidRPr="00F65894">
        <w:rPr>
          <w:rFonts w:ascii="ＭＳ 明朝" w:hAnsi="ＭＳ 明朝" w:hint="eastAsia"/>
          <w:sz w:val="22"/>
        </w:rPr>
        <w:t>別添の達成度評価シートのとおり令和</w:t>
      </w:r>
      <w:r w:rsidR="00F65894" w:rsidRPr="00F65894">
        <w:rPr>
          <w:rFonts w:ascii="ＭＳ 明朝" w:hAnsi="ＭＳ 明朝" w:hint="eastAsia"/>
          <w:sz w:val="22"/>
        </w:rPr>
        <w:t>６</w:t>
      </w:r>
      <w:r w:rsidR="003019BE" w:rsidRPr="00F65894">
        <w:rPr>
          <w:rFonts w:ascii="ＭＳ 明朝" w:hAnsi="ＭＳ 明朝" w:hint="eastAsia"/>
          <w:sz w:val="22"/>
        </w:rPr>
        <w:t>事業</w:t>
      </w:r>
      <w:r w:rsidRPr="00F65894">
        <w:rPr>
          <w:rFonts w:ascii="ＭＳ 明朝" w:hAnsi="ＭＳ 明朝" w:hint="eastAsia"/>
          <w:sz w:val="22"/>
        </w:rPr>
        <w:t>年度の業務実績を項目別に評価した。</w:t>
      </w:r>
    </w:p>
    <w:p w14:paraId="683EF1A4" w14:textId="77777777" w:rsidR="00047BD2" w:rsidRDefault="00047BD2">
      <w:pPr>
        <w:widowControl/>
        <w:jc w:val="left"/>
        <w:rPr>
          <w:rFonts w:ascii="ＭＳ 明朝" w:hAnsi="ＭＳ 明朝"/>
          <w:sz w:val="22"/>
        </w:rPr>
      </w:pPr>
      <w:r>
        <w:rPr>
          <w:rFonts w:ascii="ＭＳ 明朝" w:hAnsi="ＭＳ 明朝"/>
          <w:sz w:val="22"/>
        </w:rPr>
        <w:br w:type="page"/>
      </w:r>
    </w:p>
    <w:p w14:paraId="27A2FC61" w14:textId="77777777" w:rsidR="00047BD2" w:rsidRDefault="00047BD2" w:rsidP="00172318">
      <w:pPr>
        <w:kinsoku w:val="0"/>
        <w:autoSpaceDE w:val="0"/>
        <w:autoSpaceDN w:val="0"/>
        <w:ind w:firstLineChars="200" w:firstLine="440"/>
        <w:rPr>
          <w:rFonts w:ascii="ＭＳ 明朝" w:hAnsi="ＭＳ 明朝"/>
          <w:sz w:val="22"/>
        </w:rPr>
        <w:sectPr w:rsidR="00047BD2" w:rsidSect="00BE0649">
          <w:footerReference w:type="default" r:id="rId10"/>
          <w:pgSz w:w="11906" w:h="16838"/>
          <w:pgMar w:top="1985" w:right="1558" w:bottom="1701" w:left="1701" w:header="851" w:footer="510" w:gutter="0"/>
          <w:pgNumType w:start="1"/>
          <w:cols w:space="425"/>
          <w:titlePg/>
          <w:docGrid w:type="lines" w:linePitch="360"/>
        </w:sectPr>
      </w:pPr>
    </w:p>
    <w:p w14:paraId="2B3F4980" w14:textId="3172DC92" w:rsidR="00047BD2" w:rsidRDefault="00F97D87" w:rsidP="00047BD2">
      <w:pPr>
        <w:kinsoku w:val="0"/>
        <w:autoSpaceDE w:val="0"/>
        <w:autoSpaceDN w:val="0"/>
        <w:rPr>
          <w:rFonts w:ascii="ＭＳ 明朝" w:hAnsi="ＭＳ 明朝"/>
          <w:sz w:val="22"/>
        </w:rPr>
      </w:pPr>
      <w:r w:rsidRPr="00F97D87">
        <w:rPr>
          <w:noProof/>
        </w:rPr>
        <w:lastRenderedPageBreak/>
        <w:drawing>
          <wp:inline distT="0" distB="0" distL="0" distR="0" wp14:anchorId="2D2F68CA" wp14:editId="5F345A70">
            <wp:extent cx="9251950" cy="6002020"/>
            <wp:effectExtent l="0" t="0" r="6350" b="0"/>
            <wp:docPr id="179805713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51950" cy="6002020"/>
                    </a:xfrm>
                    <a:prstGeom prst="rect">
                      <a:avLst/>
                    </a:prstGeom>
                    <a:noFill/>
                    <a:ln>
                      <a:noFill/>
                    </a:ln>
                  </pic:spPr>
                </pic:pic>
              </a:graphicData>
            </a:graphic>
          </wp:inline>
        </w:drawing>
      </w:r>
    </w:p>
    <w:p w14:paraId="7931E108" w14:textId="4735EC9B" w:rsidR="00047BD2" w:rsidRDefault="00F97D87" w:rsidP="00047BD2">
      <w:pPr>
        <w:kinsoku w:val="0"/>
        <w:autoSpaceDE w:val="0"/>
        <w:autoSpaceDN w:val="0"/>
        <w:rPr>
          <w:rFonts w:ascii="ＭＳ 明朝" w:hAnsi="ＭＳ 明朝"/>
          <w:sz w:val="22"/>
        </w:rPr>
      </w:pPr>
      <w:r w:rsidRPr="00F97D87">
        <w:rPr>
          <w:noProof/>
        </w:rPr>
        <w:lastRenderedPageBreak/>
        <w:drawing>
          <wp:inline distT="0" distB="0" distL="0" distR="0" wp14:anchorId="07EAC39A" wp14:editId="0A8CE4A8">
            <wp:extent cx="9251950" cy="5965190"/>
            <wp:effectExtent l="0" t="0" r="6350" b="0"/>
            <wp:docPr id="46076389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51950" cy="5965190"/>
                    </a:xfrm>
                    <a:prstGeom prst="rect">
                      <a:avLst/>
                    </a:prstGeom>
                    <a:noFill/>
                    <a:ln>
                      <a:noFill/>
                    </a:ln>
                  </pic:spPr>
                </pic:pic>
              </a:graphicData>
            </a:graphic>
          </wp:inline>
        </w:drawing>
      </w:r>
    </w:p>
    <w:p w14:paraId="49CA9BD8" w14:textId="73BF6B21" w:rsidR="005A23F7" w:rsidRDefault="00F97D87" w:rsidP="00047BD2">
      <w:pPr>
        <w:kinsoku w:val="0"/>
        <w:autoSpaceDE w:val="0"/>
        <w:autoSpaceDN w:val="0"/>
        <w:rPr>
          <w:rFonts w:ascii="ＭＳ 明朝" w:hAnsi="ＭＳ 明朝"/>
          <w:sz w:val="22"/>
        </w:rPr>
      </w:pPr>
      <w:r w:rsidRPr="00F97D87">
        <w:rPr>
          <w:noProof/>
        </w:rPr>
        <w:lastRenderedPageBreak/>
        <w:drawing>
          <wp:inline distT="0" distB="0" distL="0" distR="0" wp14:anchorId="6FB28B4D" wp14:editId="2209F9C3">
            <wp:extent cx="9063990" cy="6120130"/>
            <wp:effectExtent l="0" t="0" r="3810" b="0"/>
            <wp:docPr id="129758604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63990" cy="6120130"/>
                    </a:xfrm>
                    <a:prstGeom prst="rect">
                      <a:avLst/>
                    </a:prstGeom>
                    <a:noFill/>
                    <a:ln>
                      <a:noFill/>
                    </a:ln>
                  </pic:spPr>
                </pic:pic>
              </a:graphicData>
            </a:graphic>
          </wp:inline>
        </w:drawing>
      </w:r>
    </w:p>
    <w:p w14:paraId="5A1BFA59" w14:textId="3972214B" w:rsidR="00047BD2" w:rsidRDefault="00F97D87">
      <w:pPr>
        <w:widowControl/>
        <w:jc w:val="left"/>
        <w:rPr>
          <w:rFonts w:ascii="ＭＳ 明朝" w:hAnsi="ＭＳ 明朝"/>
          <w:sz w:val="22"/>
        </w:rPr>
      </w:pPr>
      <w:r w:rsidRPr="00F97D87">
        <w:rPr>
          <w:noProof/>
        </w:rPr>
        <w:lastRenderedPageBreak/>
        <w:drawing>
          <wp:inline distT="0" distB="0" distL="0" distR="0" wp14:anchorId="49D1C4B1" wp14:editId="2F77847F">
            <wp:extent cx="9251950" cy="3430270"/>
            <wp:effectExtent l="0" t="0" r="6350" b="0"/>
            <wp:docPr id="162544808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51950" cy="3430270"/>
                    </a:xfrm>
                    <a:prstGeom prst="rect">
                      <a:avLst/>
                    </a:prstGeom>
                    <a:noFill/>
                    <a:ln>
                      <a:noFill/>
                    </a:ln>
                  </pic:spPr>
                </pic:pic>
              </a:graphicData>
            </a:graphic>
          </wp:inline>
        </w:drawing>
      </w:r>
    </w:p>
    <w:p w14:paraId="3734075F" w14:textId="77777777" w:rsidR="005A23F7" w:rsidRDefault="005A23F7">
      <w:pPr>
        <w:widowControl/>
        <w:jc w:val="left"/>
        <w:rPr>
          <w:rFonts w:ascii="ＭＳ 明朝" w:hAnsi="ＭＳ 明朝"/>
          <w:sz w:val="22"/>
        </w:rPr>
      </w:pPr>
    </w:p>
    <w:p w14:paraId="13DB2C93" w14:textId="2067F23A" w:rsidR="00047BD2" w:rsidRDefault="00047BD2" w:rsidP="00047BD2">
      <w:pPr>
        <w:kinsoku w:val="0"/>
        <w:autoSpaceDE w:val="0"/>
        <w:autoSpaceDN w:val="0"/>
        <w:rPr>
          <w:rFonts w:ascii="ＭＳ 明朝" w:hAnsi="ＭＳ 明朝"/>
          <w:sz w:val="22"/>
        </w:rPr>
      </w:pPr>
    </w:p>
    <w:p w14:paraId="43FFA4D3" w14:textId="1CA554AE" w:rsidR="00BC5443" w:rsidRDefault="00BC5443" w:rsidP="009D2B6D">
      <w:pPr>
        <w:widowControl/>
        <w:jc w:val="left"/>
        <w:rPr>
          <w:rFonts w:ascii="ＭＳ 明朝" w:hAnsi="ＭＳ 明朝"/>
        </w:rPr>
      </w:pPr>
    </w:p>
    <w:sectPr w:rsidR="00BC5443" w:rsidSect="00930D52">
      <w:footerReference w:type="default" r:id="rId15"/>
      <w:pgSz w:w="16838" w:h="11906" w:orient="landscape"/>
      <w:pgMar w:top="1134" w:right="1134" w:bottom="113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B89FE" w14:textId="77777777" w:rsidR="00265177" w:rsidRDefault="00265177" w:rsidP="006025AA">
      <w:r>
        <w:separator/>
      </w:r>
    </w:p>
  </w:endnote>
  <w:endnote w:type="continuationSeparator" w:id="0">
    <w:p w14:paraId="331B9E1D" w14:textId="77777777" w:rsidR="00265177" w:rsidRDefault="00265177" w:rsidP="00602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D1DBF" w14:textId="77777777" w:rsidR="00815873" w:rsidRDefault="00815873">
    <w:pPr>
      <w:pStyle w:val="a5"/>
      <w:jc w:val="center"/>
    </w:pPr>
  </w:p>
  <w:p w14:paraId="408B0CCA" w14:textId="77777777" w:rsidR="00815873" w:rsidRDefault="0081587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23705"/>
      <w:docPartObj>
        <w:docPartGallery w:val="Page Numbers (Bottom of Page)"/>
        <w:docPartUnique/>
      </w:docPartObj>
    </w:sdtPr>
    <w:sdtEndPr/>
    <w:sdtContent>
      <w:p w14:paraId="2B731720" w14:textId="2AC27490" w:rsidR="008E1B51" w:rsidRDefault="008E1B51">
        <w:pPr>
          <w:pStyle w:val="a5"/>
          <w:jc w:val="center"/>
        </w:pPr>
        <w:r>
          <w:fldChar w:fldCharType="begin"/>
        </w:r>
        <w:r>
          <w:instrText>PAGE   \* MERGEFORMAT</w:instrText>
        </w:r>
        <w:r>
          <w:fldChar w:fldCharType="separate"/>
        </w:r>
        <w:r>
          <w:rPr>
            <w:lang w:val="ja-JP"/>
          </w:rPr>
          <w:t>2</w:t>
        </w:r>
        <w:r>
          <w:fldChar w:fldCharType="end"/>
        </w:r>
      </w:p>
    </w:sdtContent>
  </w:sdt>
  <w:p w14:paraId="2BAC70FF" w14:textId="48D84244" w:rsidR="00751C5D" w:rsidRPr="00BE0649" w:rsidRDefault="00751C5D" w:rsidP="00751C5D">
    <w:pPr>
      <w:pStyle w:val="a5"/>
      <w:jc w:val="center"/>
      <w:rPr>
        <w:rFonts w:ascii="ＭＳ 明朝" w:eastAsia="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671565"/>
      <w:docPartObj>
        <w:docPartGallery w:val="Page Numbers (Bottom of Page)"/>
        <w:docPartUnique/>
      </w:docPartObj>
    </w:sdtPr>
    <w:sdtEndPr/>
    <w:sdtContent>
      <w:p w14:paraId="3A8D1514" w14:textId="04E5DEB6" w:rsidR="00751C5D" w:rsidRDefault="00523B8B" w:rsidP="00523B8B">
        <w:pPr>
          <w:pStyle w:val="a5"/>
          <w:jc w:val="center"/>
        </w:pPr>
        <w:r>
          <w:fldChar w:fldCharType="begin"/>
        </w:r>
        <w:r>
          <w:instrText>PAGE   \* MERGEFORMAT</w:instrText>
        </w:r>
        <w:r>
          <w:fldChar w:fldCharType="separate"/>
        </w:r>
        <w:r w:rsidR="00304319" w:rsidRPr="00304319">
          <w:rPr>
            <w:noProof/>
            <w:lang w:val="ja-JP"/>
          </w:rPr>
          <w:t>3</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229473"/>
      <w:docPartObj>
        <w:docPartGallery w:val="Page Numbers (Bottom of Page)"/>
        <w:docPartUnique/>
      </w:docPartObj>
    </w:sdtPr>
    <w:sdtEndPr/>
    <w:sdtContent>
      <w:p w14:paraId="51D365DB" w14:textId="0B1D0AFE" w:rsidR="00930D52" w:rsidRDefault="00930D52">
        <w:pPr>
          <w:pStyle w:val="a5"/>
          <w:jc w:val="center"/>
        </w:pPr>
        <w:r>
          <w:fldChar w:fldCharType="begin"/>
        </w:r>
        <w:r>
          <w:instrText>PAGE   \* MERGEFORMAT</w:instrText>
        </w:r>
        <w:r>
          <w:fldChar w:fldCharType="separate"/>
        </w:r>
        <w:r>
          <w:rPr>
            <w:lang w:val="ja-JP"/>
          </w:rPr>
          <w:t>2</w:t>
        </w:r>
        <w:r>
          <w:fldChar w:fldCharType="end"/>
        </w:r>
      </w:p>
    </w:sdtContent>
  </w:sdt>
  <w:p w14:paraId="15C535B1" w14:textId="77777777" w:rsidR="00D96A24" w:rsidRPr="00544BEF" w:rsidRDefault="00D96A24" w:rsidP="00544B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03B94" w14:textId="77777777" w:rsidR="00265177" w:rsidRDefault="00265177" w:rsidP="006025AA">
      <w:r>
        <w:separator/>
      </w:r>
    </w:p>
  </w:footnote>
  <w:footnote w:type="continuationSeparator" w:id="0">
    <w:p w14:paraId="0A9F138A" w14:textId="77777777" w:rsidR="00265177" w:rsidRDefault="00265177" w:rsidP="00602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6E1F"/>
    <w:multiLevelType w:val="hybridMultilevel"/>
    <w:tmpl w:val="61C68492"/>
    <w:lvl w:ilvl="0" w:tplc="E93E6C2A">
      <w:start w:val="1"/>
      <w:numFmt w:val="decimalFullWidth"/>
      <w:lvlText w:val="第%1"/>
      <w:lvlJc w:val="left"/>
      <w:pPr>
        <w:ind w:left="738" w:hanging="528"/>
      </w:pPr>
      <w:rPr>
        <w:rFonts w:hint="default"/>
      </w:rPr>
    </w:lvl>
    <w:lvl w:ilvl="1" w:tplc="55D8D900">
      <w:start w:val="1"/>
      <w:numFmt w:val="aiueo"/>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A075E8B"/>
    <w:multiLevelType w:val="hybridMultilevel"/>
    <w:tmpl w:val="36B04C90"/>
    <w:lvl w:ilvl="0" w:tplc="BF4C7ECE">
      <w:start w:val="1"/>
      <w:numFmt w:val="decimalEnclosedCircle"/>
      <w:lvlText w:val="%1"/>
      <w:lvlJc w:val="left"/>
      <w:pPr>
        <w:ind w:left="716" w:hanging="360"/>
      </w:pPr>
      <w:rPr>
        <w:rFonts w:hint="default"/>
      </w:rPr>
    </w:lvl>
    <w:lvl w:ilvl="1" w:tplc="04090017" w:tentative="1">
      <w:start w:val="1"/>
      <w:numFmt w:val="aiueoFullWidth"/>
      <w:lvlText w:val="(%2)"/>
      <w:lvlJc w:val="left"/>
      <w:pPr>
        <w:ind w:left="1196" w:hanging="420"/>
      </w:pPr>
    </w:lvl>
    <w:lvl w:ilvl="2" w:tplc="04090011" w:tentative="1">
      <w:start w:val="1"/>
      <w:numFmt w:val="decimalEnclosedCircle"/>
      <w:lvlText w:val="%3"/>
      <w:lvlJc w:val="left"/>
      <w:pPr>
        <w:ind w:left="1616" w:hanging="420"/>
      </w:pPr>
    </w:lvl>
    <w:lvl w:ilvl="3" w:tplc="0409000F" w:tentative="1">
      <w:start w:val="1"/>
      <w:numFmt w:val="decimal"/>
      <w:lvlText w:val="%4."/>
      <w:lvlJc w:val="left"/>
      <w:pPr>
        <w:ind w:left="2036" w:hanging="420"/>
      </w:pPr>
    </w:lvl>
    <w:lvl w:ilvl="4" w:tplc="04090017" w:tentative="1">
      <w:start w:val="1"/>
      <w:numFmt w:val="aiueoFullWidth"/>
      <w:lvlText w:val="(%5)"/>
      <w:lvlJc w:val="left"/>
      <w:pPr>
        <w:ind w:left="2456" w:hanging="420"/>
      </w:pPr>
    </w:lvl>
    <w:lvl w:ilvl="5" w:tplc="04090011" w:tentative="1">
      <w:start w:val="1"/>
      <w:numFmt w:val="decimalEnclosedCircle"/>
      <w:lvlText w:val="%6"/>
      <w:lvlJc w:val="left"/>
      <w:pPr>
        <w:ind w:left="2876" w:hanging="420"/>
      </w:pPr>
    </w:lvl>
    <w:lvl w:ilvl="6" w:tplc="0409000F" w:tentative="1">
      <w:start w:val="1"/>
      <w:numFmt w:val="decimal"/>
      <w:lvlText w:val="%7."/>
      <w:lvlJc w:val="left"/>
      <w:pPr>
        <w:ind w:left="3296" w:hanging="420"/>
      </w:pPr>
    </w:lvl>
    <w:lvl w:ilvl="7" w:tplc="04090017" w:tentative="1">
      <w:start w:val="1"/>
      <w:numFmt w:val="aiueoFullWidth"/>
      <w:lvlText w:val="(%8)"/>
      <w:lvlJc w:val="left"/>
      <w:pPr>
        <w:ind w:left="3716" w:hanging="420"/>
      </w:pPr>
    </w:lvl>
    <w:lvl w:ilvl="8" w:tplc="04090011" w:tentative="1">
      <w:start w:val="1"/>
      <w:numFmt w:val="decimalEnclosedCircle"/>
      <w:lvlText w:val="%9"/>
      <w:lvlJc w:val="left"/>
      <w:pPr>
        <w:ind w:left="4136" w:hanging="420"/>
      </w:pPr>
    </w:lvl>
  </w:abstractNum>
  <w:num w:numId="1" w16cid:durableId="772407808">
    <w:abstractNumId w:val="1"/>
  </w:num>
  <w:num w:numId="2" w16cid:durableId="152334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2"/>
  <w:displayVerticalDrawingGridEvery w:val="2"/>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06A"/>
    <w:rsid w:val="00006317"/>
    <w:rsid w:val="00012C94"/>
    <w:rsid w:val="00036716"/>
    <w:rsid w:val="00047BD2"/>
    <w:rsid w:val="0007107D"/>
    <w:rsid w:val="00072075"/>
    <w:rsid w:val="000756AA"/>
    <w:rsid w:val="000A067A"/>
    <w:rsid w:val="000E48CD"/>
    <w:rsid w:val="00102A27"/>
    <w:rsid w:val="00103BCB"/>
    <w:rsid w:val="00127A86"/>
    <w:rsid w:val="001500A9"/>
    <w:rsid w:val="001516E8"/>
    <w:rsid w:val="00172318"/>
    <w:rsid w:val="00180DC2"/>
    <w:rsid w:val="001A0F2E"/>
    <w:rsid w:val="001A4D58"/>
    <w:rsid w:val="001B1C6B"/>
    <w:rsid w:val="001C201E"/>
    <w:rsid w:val="001C5319"/>
    <w:rsid w:val="001D0A1C"/>
    <w:rsid w:val="001D1514"/>
    <w:rsid w:val="0020074A"/>
    <w:rsid w:val="00204F26"/>
    <w:rsid w:val="00217DC6"/>
    <w:rsid w:val="0023565F"/>
    <w:rsid w:val="00265177"/>
    <w:rsid w:val="00272362"/>
    <w:rsid w:val="002A0D0A"/>
    <w:rsid w:val="002E1871"/>
    <w:rsid w:val="002F190B"/>
    <w:rsid w:val="002F5471"/>
    <w:rsid w:val="003019BE"/>
    <w:rsid w:val="00304319"/>
    <w:rsid w:val="00311542"/>
    <w:rsid w:val="0033760F"/>
    <w:rsid w:val="003616C1"/>
    <w:rsid w:val="00380ECD"/>
    <w:rsid w:val="00392B77"/>
    <w:rsid w:val="003B65B5"/>
    <w:rsid w:val="003C1694"/>
    <w:rsid w:val="003E093F"/>
    <w:rsid w:val="003E71B4"/>
    <w:rsid w:val="003F294C"/>
    <w:rsid w:val="00403EDC"/>
    <w:rsid w:val="00403F9E"/>
    <w:rsid w:val="0041205F"/>
    <w:rsid w:val="00413DEF"/>
    <w:rsid w:val="0041585E"/>
    <w:rsid w:val="00417DE7"/>
    <w:rsid w:val="00420AAF"/>
    <w:rsid w:val="00420C16"/>
    <w:rsid w:val="00433877"/>
    <w:rsid w:val="00447923"/>
    <w:rsid w:val="00461807"/>
    <w:rsid w:val="00497BE2"/>
    <w:rsid w:val="004A656D"/>
    <w:rsid w:val="004C28A1"/>
    <w:rsid w:val="004C4775"/>
    <w:rsid w:val="004D5761"/>
    <w:rsid w:val="005063A7"/>
    <w:rsid w:val="00523B8B"/>
    <w:rsid w:val="00542424"/>
    <w:rsid w:val="00544BEF"/>
    <w:rsid w:val="005459B6"/>
    <w:rsid w:val="00546FA3"/>
    <w:rsid w:val="00571CB9"/>
    <w:rsid w:val="005A23F7"/>
    <w:rsid w:val="005A4530"/>
    <w:rsid w:val="005A55E5"/>
    <w:rsid w:val="005A5F5C"/>
    <w:rsid w:val="005B42A3"/>
    <w:rsid w:val="005C0A15"/>
    <w:rsid w:val="005C6D87"/>
    <w:rsid w:val="005D0C48"/>
    <w:rsid w:val="005D29DD"/>
    <w:rsid w:val="005E3CAC"/>
    <w:rsid w:val="005F5F34"/>
    <w:rsid w:val="006025AA"/>
    <w:rsid w:val="00604ECD"/>
    <w:rsid w:val="00607583"/>
    <w:rsid w:val="0061333E"/>
    <w:rsid w:val="00641070"/>
    <w:rsid w:val="006517DE"/>
    <w:rsid w:val="006754DA"/>
    <w:rsid w:val="006A7845"/>
    <w:rsid w:val="006B5C96"/>
    <w:rsid w:val="006C6009"/>
    <w:rsid w:val="006C6574"/>
    <w:rsid w:val="006C75AC"/>
    <w:rsid w:val="006D3082"/>
    <w:rsid w:val="006D41A5"/>
    <w:rsid w:val="006D4E98"/>
    <w:rsid w:val="007068D1"/>
    <w:rsid w:val="0073355B"/>
    <w:rsid w:val="00751C5D"/>
    <w:rsid w:val="00753E52"/>
    <w:rsid w:val="007852D7"/>
    <w:rsid w:val="007869A2"/>
    <w:rsid w:val="007D4D2C"/>
    <w:rsid w:val="007F3807"/>
    <w:rsid w:val="00806AC3"/>
    <w:rsid w:val="00815873"/>
    <w:rsid w:val="00824148"/>
    <w:rsid w:val="008633A3"/>
    <w:rsid w:val="00866722"/>
    <w:rsid w:val="00891FDE"/>
    <w:rsid w:val="00892D91"/>
    <w:rsid w:val="008A0580"/>
    <w:rsid w:val="008A0D25"/>
    <w:rsid w:val="008A311A"/>
    <w:rsid w:val="008B3057"/>
    <w:rsid w:val="008B3209"/>
    <w:rsid w:val="008C37AC"/>
    <w:rsid w:val="008E1B51"/>
    <w:rsid w:val="008E4861"/>
    <w:rsid w:val="00902272"/>
    <w:rsid w:val="00902417"/>
    <w:rsid w:val="00930D52"/>
    <w:rsid w:val="00964B16"/>
    <w:rsid w:val="009D2B6D"/>
    <w:rsid w:val="009E16A1"/>
    <w:rsid w:val="00A20AA2"/>
    <w:rsid w:val="00AA3E1B"/>
    <w:rsid w:val="00AA525B"/>
    <w:rsid w:val="00AB35BE"/>
    <w:rsid w:val="00AD19A4"/>
    <w:rsid w:val="00AE6538"/>
    <w:rsid w:val="00B43172"/>
    <w:rsid w:val="00B5006A"/>
    <w:rsid w:val="00B53010"/>
    <w:rsid w:val="00B60EA0"/>
    <w:rsid w:val="00B703A3"/>
    <w:rsid w:val="00B76C29"/>
    <w:rsid w:val="00B8026B"/>
    <w:rsid w:val="00B817CE"/>
    <w:rsid w:val="00B96F62"/>
    <w:rsid w:val="00BC5443"/>
    <w:rsid w:val="00BC697E"/>
    <w:rsid w:val="00BD418F"/>
    <w:rsid w:val="00BE0649"/>
    <w:rsid w:val="00C008B2"/>
    <w:rsid w:val="00C36772"/>
    <w:rsid w:val="00CB0F5A"/>
    <w:rsid w:val="00CB108C"/>
    <w:rsid w:val="00CE343B"/>
    <w:rsid w:val="00CF5423"/>
    <w:rsid w:val="00D05537"/>
    <w:rsid w:val="00D1724F"/>
    <w:rsid w:val="00D442C8"/>
    <w:rsid w:val="00D81564"/>
    <w:rsid w:val="00D96A24"/>
    <w:rsid w:val="00D97E59"/>
    <w:rsid w:val="00DA78DB"/>
    <w:rsid w:val="00DC10C1"/>
    <w:rsid w:val="00DF23F2"/>
    <w:rsid w:val="00E06011"/>
    <w:rsid w:val="00E67D30"/>
    <w:rsid w:val="00ED386F"/>
    <w:rsid w:val="00EE5159"/>
    <w:rsid w:val="00EF0758"/>
    <w:rsid w:val="00EF4E75"/>
    <w:rsid w:val="00EF5B60"/>
    <w:rsid w:val="00F25609"/>
    <w:rsid w:val="00F274AC"/>
    <w:rsid w:val="00F65894"/>
    <w:rsid w:val="00F72354"/>
    <w:rsid w:val="00F97D87"/>
    <w:rsid w:val="00FA1018"/>
    <w:rsid w:val="00FC36DF"/>
    <w:rsid w:val="00FC548C"/>
    <w:rsid w:val="00FD3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14:docId w14:val="66E5B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60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25AA"/>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025AA"/>
  </w:style>
  <w:style w:type="paragraph" w:styleId="a5">
    <w:name w:val="footer"/>
    <w:basedOn w:val="a"/>
    <w:link w:val="a6"/>
    <w:uiPriority w:val="99"/>
    <w:unhideWhenUsed/>
    <w:rsid w:val="006025AA"/>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025AA"/>
  </w:style>
  <w:style w:type="paragraph" w:styleId="a7">
    <w:name w:val="Balloon Text"/>
    <w:basedOn w:val="a"/>
    <w:link w:val="a8"/>
    <w:uiPriority w:val="99"/>
    <w:semiHidden/>
    <w:unhideWhenUsed/>
    <w:rsid w:val="006C65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6574"/>
    <w:rPr>
      <w:rFonts w:asciiTheme="majorHAnsi" w:eastAsiaTheme="majorEastAsia" w:hAnsiTheme="majorHAnsi" w:cstheme="majorBidi"/>
      <w:sz w:val="18"/>
      <w:szCs w:val="18"/>
    </w:rPr>
  </w:style>
  <w:style w:type="paragraph" w:styleId="a9">
    <w:name w:val="List Paragraph"/>
    <w:basedOn w:val="a"/>
    <w:uiPriority w:val="34"/>
    <w:qFormat/>
    <w:rsid w:val="006B5C96"/>
    <w:pPr>
      <w:ind w:leftChars="400" w:left="840"/>
    </w:pPr>
    <w:rPr>
      <w:rFonts w:asciiTheme="minorHAnsi" w:eastAsiaTheme="minorEastAsia" w:hAnsiTheme="minorHAnsi" w:cstheme="minorBidi"/>
      <w:szCs w:val="22"/>
    </w:rPr>
  </w:style>
  <w:style w:type="paragraph" w:customStyle="1" w:styleId="aa">
    <w:name w:val="明朝"/>
    <w:basedOn w:val="a"/>
    <w:qFormat/>
    <w:rsid w:val="00AA525B"/>
    <w:rPr>
      <w:rFonts w:ascii="ＭＳ 明朝" w:hAnsi="ＭＳ 明朝" w:cstheme="minorBidi"/>
      <w:szCs w:val="21"/>
      <w14:ligatures w14:val="standardContextual"/>
    </w:rPr>
  </w:style>
  <w:style w:type="table" w:styleId="ab">
    <w:name w:val="Table Grid"/>
    <w:basedOn w:val="a1"/>
    <w:uiPriority w:val="39"/>
    <w:rsid w:val="00AA5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6609">
      <w:bodyDiv w:val="1"/>
      <w:marLeft w:val="0"/>
      <w:marRight w:val="0"/>
      <w:marTop w:val="0"/>
      <w:marBottom w:val="0"/>
      <w:divBdr>
        <w:top w:val="none" w:sz="0" w:space="0" w:color="auto"/>
        <w:left w:val="none" w:sz="0" w:space="0" w:color="auto"/>
        <w:bottom w:val="none" w:sz="0" w:space="0" w:color="auto"/>
        <w:right w:val="none" w:sz="0" w:space="0" w:color="auto"/>
      </w:divBdr>
    </w:div>
    <w:div w:id="539170186">
      <w:bodyDiv w:val="1"/>
      <w:marLeft w:val="0"/>
      <w:marRight w:val="0"/>
      <w:marTop w:val="0"/>
      <w:marBottom w:val="0"/>
      <w:divBdr>
        <w:top w:val="none" w:sz="0" w:space="0" w:color="auto"/>
        <w:left w:val="none" w:sz="0" w:space="0" w:color="auto"/>
        <w:bottom w:val="none" w:sz="0" w:space="0" w:color="auto"/>
        <w:right w:val="none" w:sz="0" w:space="0" w:color="auto"/>
      </w:divBdr>
    </w:div>
    <w:div w:id="735131503">
      <w:bodyDiv w:val="1"/>
      <w:marLeft w:val="0"/>
      <w:marRight w:val="0"/>
      <w:marTop w:val="0"/>
      <w:marBottom w:val="0"/>
      <w:divBdr>
        <w:top w:val="none" w:sz="0" w:space="0" w:color="auto"/>
        <w:left w:val="none" w:sz="0" w:space="0" w:color="auto"/>
        <w:bottom w:val="none" w:sz="0" w:space="0" w:color="auto"/>
        <w:right w:val="none" w:sz="0" w:space="0" w:color="auto"/>
      </w:divBdr>
    </w:div>
    <w:div w:id="798187851">
      <w:bodyDiv w:val="1"/>
      <w:marLeft w:val="0"/>
      <w:marRight w:val="0"/>
      <w:marTop w:val="0"/>
      <w:marBottom w:val="0"/>
      <w:divBdr>
        <w:top w:val="none" w:sz="0" w:space="0" w:color="auto"/>
        <w:left w:val="none" w:sz="0" w:space="0" w:color="auto"/>
        <w:bottom w:val="none" w:sz="0" w:space="0" w:color="auto"/>
        <w:right w:val="none" w:sz="0" w:space="0" w:color="auto"/>
      </w:divBdr>
    </w:div>
    <w:div w:id="1273561415">
      <w:bodyDiv w:val="1"/>
      <w:marLeft w:val="0"/>
      <w:marRight w:val="0"/>
      <w:marTop w:val="0"/>
      <w:marBottom w:val="0"/>
      <w:divBdr>
        <w:top w:val="none" w:sz="0" w:space="0" w:color="auto"/>
        <w:left w:val="none" w:sz="0" w:space="0" w:color="auto"/>
        <w:bottom w:val="none" w:sz="0" w:space="0" w:color="auto"/>
        <w:right w:val="none" w:sz="0" w:space="0" w:color="auto"/>
      </w:divBdr>
    </w:div>
    <w:div w:id="1336226259">
      <w:bodyDiv w:val="1"/>
      <w:marLeft w:val="0"/>
      <w:marRight w:val="0"/>
      <w:marTop w:val="0"/>
      <w:marBottom w:val="0"/>
      <w:divBdr>
        <w:top w:val="none" w:sz="0" w:space="0" w:color="auto"/>
        <w:left w:val="none" w:sz="0" w:space="0" w:color="auto"/>
        <w:bottom w:val="none" w:sz="0" w:space="0" w:color="auto"/>
        <w:right w:val="none" w:sz="0" w:space="0" w:color="auto"/>
      </w:divBdr>
    </w:div>
    <w:div w:id="194696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36B74-E931-4FFF-B1F0-3363A03E6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288</Words>
  <Characters>1644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2021-10-01T04:03:00Z</dcterms:created>
  <dcterms:modified xsi:type="dcterms:W3CDTF">2025-08-28T10:12:00Z</dcterms:modified>
</cp:coreProperties>
</file>