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15" w:rsidRPr="006F0019" w:rsidRDefault="0008549A" w:rsidP="006F001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大阪市</w:t>
      </w:r>
      <w:r w:rsidR="00612E63" w:rsidRPr="006F0019">
        <w:rPr>
          <w:rFonts w:hint="eastAsia"/>
          <w:sz w:val="28"/>
          <w:szCs w:val="28"/>
        </w:rPr>
        <w:t>オープンデータの取り組みに関する指針</w:t>
      </w:r>
    </w:p>
    <w:p w:rsidR="00612E63" w:rsidRDefault="00612E63"/>
    <w:p w:rsidR="00410571" w:rsidRPr="00410571" w:rsidRDefault="00410571" w:rsidP="00410571">
      <w:pPr>
        <w:ind w:firstLineChars="100" w:firstLine="210"/>
      </w:pPr>
      <w:r>
        <w:rPr>
          <w:rFonts w:hint="eastAsia"/>
        </w:rPr>
        <w:t>近年、政府や自治体などの公共機関が保有する各種行政情報を、</w:t>
      </w:r>
      <w:r w:rsidR="001240E9">
        <w:rPr>
          <w:rFonts w:hint="eastAsia"/>
        </w:rPr>
        <w:t>商用利用及び２次利用が可能で</w:t>
      </w:r>
      <w:r>
        <w:rPr>
          <w:rFonts w:hint="eastAsia"/>
        </w:rPr>
        <w:t>、かつ機械判読にも適したデータ形式で提供する「オープンデータ」の取り組みが世界中で</w:t>
      </w:r>
      <w:r w:rsidR="001240E9">
        <w:rPr>
          <w:rFonts w:hint="eastAsia"/>
        </w:rPr>
        <w:t>進められ</w:t>
      </w:r>
      <w:r>
        <w:rPr>
          <w:rFonts w:hint="eastAsia"/>
        </w:rPr>
        <w:t>、ビジネスや身近な公共サービスへの活用が期待されるようになっている。</w:t>
      </w:r>
    </w:p>
    <w:p w:rsidR="00410571" w:rsidRDefault="00410571" w:rsidP="00410571">
      <w:r>
        <w:rPr>
          <w:rFonts w:hint="eastAsia"/>
        </w:rPr>
        <w:t xml:space="preserve">　国においては、公共データの活用促進のための基本戦略として、「電子行政オープンデータ戦略」が策定（平成</w:t>
      </w:r>
      <w:r>
        <w:t>24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IT</w:t>
      </w:r>
      <w:r>
        <w:rPr>
          <w:rFonts w:hint="eastAsia"/>
        </w:rPr>
        <w:t>戦略本部決定）され、政府の新たな</w:t>
      </w:r>
      <w:r>
        <w:t>IT</w:t>
      </w:r>
      <w:r>
        <w:rPr>
          <w:rFonts w:hint="eastAsia"/>
        </w:rPr>
        <w:t>戦略</w:t>
      </w:r>
      <w:r w:rsidR="001240E9">
        <w:rPr>
          <w:rFonts w:hint="eastAsia"/>
        </w:rPr>
        <w:t>である</w:t>
      </w:r>
      <w:r>
        <w:rPr>
          <w:rFonts w:hint="eastAsia"/>
        </w:rPr>
        <w:t>「世界最先端</w:t>
      </w:r>
      <w:r>
        <w:t>IT</w:t>
      </w:r>
      <w:r>
        <w:rPr>
          <w:rFonts w:hint="eastAsia"/>
        </w:rPr>
        <w:t>国家創造宣言」（平成</w:t>
      </w:r>
      <w:r>
        <w:t>25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日閣議決定）では、めざすべき社会として、「革新的な新産業・新サービスの創出と全産業の</w:t>
      </w:r>
      <w:r w:rsidR="001240E9">
        <w:rPr>
          <w:rFonts w:hint="eastAsia"/>
        </w:rPr>
        <w:t>成長</w:t>
      </w:r>
      <w:r>
        <w:rPr>
          <w:rFonts w:ascii="ＭＳ 明朝" w:eastAsia="ＭＳ 明朝" w:hAnsi="ＭＳ 明朝" w:cs="ＭＳ 明朝" w:hint="eastAsia"/>
        </w:rPr>
        <w:t>を促進する社会の実現」とされており、その取り組みとして「公共データの民間開放（オープンデータ）の推進」が挙げられている。</w:t>
      </w:r>
    </w:p>
    <w:p w:rsidR="00410571" w:rsidRDefault="00410571" w:rsidP="00410571">
      <w:r>
        <w:rPr>
          <w:rFonts w:hint="eastAsia"/>
        </w:rPr>
        <w:t xml:space="preserve">　こうした状況をふまえ、本市においても、積極的にオープンデータとしての公開を行うことで、行政サービス向上、イノベーション創出や官民協働を推進していくため、本指針を策定する。</w:t>
      </w:r>
    </w:p>
    <w:p w:rsidR="00612E63" w:rsidRPr="00410571" w:rsidRDefault="00612E63"/>
    <w:p w:rsidR="00612E63" w:rsidRDefault="00612E63" w:rsidP="00612E6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オープンデータの意義</w:t>
      </w:r>
    </w:p>
    <w:p w:rsidR="00AB62F5" w:rsidRDefault="004B6D58" w:rsidP="00AB62F5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公共データの利活用促進</w:t>
      </w:r>
    </w:p>
    <w:p w:rsidR="004B6D58" w:rsidRDefault="004B6D58" w:rsidP="00035D59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複数の行政機関や民間のデータを組み合わせることで、民間による公共性、利便性の高いサービスや災害時に有用なサービスの提供を実現</w:t>
      </w:r>
    </w:p>
    <w:p w:rsidR="004B6D58" w:rsidRDefault="004B6D58" w:rsidP="00AB62F5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市民の行政参画の促進</w:t>
      </w:r>
    </w:p>
    <w:p w:rsidR="004B6D58" w:rsidRDefault="004B6D58" w:rsidP="00035D59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公共データを容易に入手、利用できる環境を整えることで、市民の行政参画を促進し、市民との連携を強化することで、新しい視点から要望や課題等のフィードバックを得る</w:t>
      </w:r>
    </w:p>
    <w:p w:rsidR="004B6D58" w:rsidRDefault="004B6D58" w:rsidP="00AB62F5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行政の透明性・信頼性の向上、行政効率化</w:t>
      </w:r>
    </w:p>
    <w:p w:rsidR="004B6D58" w:rsidRDefault="004B6D58" w:rsidP="00035D59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データの公開による行政の透明性の確保</w:t>
      </w:r>
      <w:r w:rsidR="00AB62F5">
        <w:rPr>
          <w:rFonts w:hint="eastAsia"/>
        </w:rPr>
        <w:t xml:space="preserve">　</w:t>
      </w:r>
    </w:p>
    <w:p w:rsidR="004B6D58" w:rsidRDefault="004B6D58" w:rsidP="00035D59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行政サービスの向上</w:t>
      </w:r>
    </w:p>
    <w:p w:rsidR="004B6D58" w:rsidRDefault="004B6D58" w:rsidP="00AB62F5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地域コミュニティ・地域経済の活性化</w:t>
      </w:r>
    </w:p>
    <w:p w:rsidR="004B6D58" w:rsidRDefault="004B6D58" w:rsidP="00035D59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地域社会の課題解決（防災・減災、交通、インフラ等）、地域振興（観光</w:t>
      </w:r>
      <w:r w:rsidR="001240E9">
        <w:rPr>
          <w:rFonts w:hint="eastAsia"/>
        </w:rPr>
        <w:t>産業等</w:t>
      </w:r>
      <w:r>
        <w:rPr>
          <w:rFonts w:hint="eastAsia"/>
        </w:rPr>
        <w:t>）</w:t>
      </w:r>
    </w:p>
    <w:p w:rsidR="004B6D58" w:rsidRDefault="009C0768" w:rsidP="00035D59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地域のベンチャー企業などによる新たな産業創出</w:t>
      </w:r>
      <w:r w:rsidR="001240E9">
        <w:rPr>
          <w:rFonts w:hint="eastAsia"/>
        </w:rPr>
        <w:t>及び雇用創出</w:t>
      </w:r>
    </w:p>
    <w:p w:rsidR="00B961BE" w:rsidRPr="009C0768" w:rsidRDefault="00B961BE" w:rsidP="00B835AC">
      <w:pPr>
        <w:pStyle w:val="a7"/>
        <w:ind w:leftChars="0" w:left="420"/>
      </w:pPr>
    </w:p>
    <w:p w:rsidR="00612E63" w:rsidRDefault="00612E63" w:rsidP="00612E6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基本的な考え方</w:t>
      </w:r>
    </w:p>
    <w:p w:rsidR="00692CF0" w:rsidRDefault="00692CF0" w:rsidP="00692CF0">
      <w:pPr>
        <w:pStyle w:val="a7"/>
        <w:ind w:leftChars="0" w:left="420"/>
      </w:pPr>
      <w:r>
        <w:rPr>
          <w:rFonts w:hint="eastAsia"/>
        </w:rPr>
        <w:t xml:space="preserve">　オープンデータに取り組むに</w:t>
      </w:r>
      <w:r w:rsidR="001240E9">
        <w:rPr>
          <w:rFonts w:hint="eastAsia"/>
        </w:rPr>
        <w:t>あたっての</w:t>
      </w:r>
      <w:r>
        <w:rPr>
          <w:rFonts w:hint="eastAsia"/>
        </w:rPr>
        <w:t>基本的な方針</w:t>
      </w:r>
      <w:r w:rsidR="001240E9">
        <w:rPr>
          <w:rFonts w:hint="eastAsia"/>
        </w:rPr>
        <w:t>は次のとおり</w:t>
      </w:r>
      <w:r>
        <w:rPr>
          <w:rFonts w:hint="eastAsia"/>
        </w:rPr>
        <w:t>とする。</w:t>
      </w:r>
    </w:p>
    <w:p w:rsidR="0094439F" w:rsidRDefault="00AA272B" w:rsidP="0094439F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市自らが、積極的に</w:t>
      </w:r>
      <w:r w:rsidR="0094439F">
        <w:rPr>
          <w:rFonts w:hint="eastAsia"/>
        </w:rPr>
        <w:t>データを公開する</w:t>
      </w:r>
    </w:p>
    <w:p w:rsidR="00B835AC" w:rsidRDefault="00830DCB" w:rsidP="00692CF0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機械判読可能な</w:t>
      </w:r>
      <w:r w:rsidR="001240E9">
        <w:rPr>
          <w:rFonts w:hint="eastAsia"/>
        </w:rPr>
        <w:t>ファイル</w:t>
      </w:r>
      <w:r>
        <w:rPr>
          <w:rFonts w:hint="eastAsia"/>
        </w:rPr>
        <w:t>形式で公開する</w:t>
      </w:r>
    </w:p>
    <w:p w:rsidR="00830DCB" w:rsidRDefault="00830DCB" w:rsidP="00692CF0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営利目的、非営利目的を問わず、活用を促進する</w:t>
      </w:r>
    </w:p>
    <w:p w:rsidR="0094439F" w:rsidRDefault="00830DCB" w:rsidP="00A466E6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取り組み可能なデータから速やかに公開等の具体的な取り組みに着手</w:t>
      </w:r>
      <w:r w:rsidR="00964C13">
        <w:rPr>
          <w:rFonts w:hint="eastAsia"/>
        </w:rPr>
        <w:t>する</w:t>
      </w:r>
    </w:p>
    <w:p w:rsidR="00AA272B" w:rsidRPr="00D472B2" w:rsidRDefault="00AA272B" w:rsidP="00AD589F"/>
    <w:p w:rsidR="00612E63" w:rsidRDefault="00B835AC" w:rsidP="00612E6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具体的な取り組み方針</w:t>
      </w:r>
    </w:p>
    <w:p w:rsidR="00830DCB" w:rsidRDefault="00830DCB" w:rsidP="00830DC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対象とするデータ</w:t>
      </w:r>
    </w:p>
    <w:p w:rsidR="00A44B39" w:rsidRDefault="00332E9B" w:rsidP="00332E9B">
      <w:pPr>
        <w:pStyle w:val="a7"/>
        <w:ind w:leftChars="0" w:left="1140"/>
      </w:pPr>
      <w:r>
        <w:rPr>
          <w:rFonts w:hint="eastAsia"/>
        </w:rPr>
        <w:t xml:space="preserve">　</w:t>
      </w:r>
      <w:r w:rsidR="000D5E6F">
        <w:rPr>
          <w:rFonts w:hint="eastAsia"/>
        </w:rPr>
        <w:t>公開できない理由が明確なものを除き、保有するデータはすべて公開するという理念の下、</w:t>
      </w:r>
      <w:r>
        <w:rPr>
          <w:rFonts w:hint="eastAsia"/>
        </w:rPr>
        <w:t>本市が保有するデータの内、</w:t>
      </w:r>
      <w:r w:rsidR="00D21855">
        <w:rPr>
          <w:rFonts w:hint="eastAsia"/>
        </w:rPr>
        <w:t>(</w:t>
      </w:r>
      <w:r w:rsidR="00D21855">
        <w:rPr>
          <w:rFonts w:hint="eastAsia"/>
        </w:rPr>
        <w:t>ア</w:t>
      </w:r>
      <w:r w:rsidR="00D21855">
        <w:rPr>
          <w:rFonts w:hint="eastAsia"/>
        </w:rPr>
        <w:t>)</w:t>
      </w:r>
      <w:r w:rsidR="00D21855">
        <w:rPr>
          <w:rFonts w:hint="eastAsia"/>
        </w:rPr>
        <w:t>及び</w:t>
      </w:r>
      <w:r w:rsidR="00D21855">
        <w:rPr>
          <w:rFonts w:hint="eastAsia"/>
        </w:rPr>
        <w:t>(</w:t>
      </w:r>
      <w:r w:rsidR="00D21855">
        <w:rPr>
          <w:rFonts w:hint="eastAsia"/>
        </w:rPr>
        <w:t>イ</w:t>
      </w:r>
      <w:r w:rsidR="00D21855">
        <w:rPr>
          <w:rFonts w:hint="eastAsia"/>
        </w:rPr>
        <w:t>)</w:t>
      </w:r>
      <w:r w:rsidR="00D21855">
        <w:rPr>
          <w:rFonts w:hint="eastAsia"/>
        </w:rPr>
        <w:t>に該当する</w:t>
      </w:r>
      <w:r>
        <w:rPr>
          <w:rFonts w:hint="eastAsia"/>
        </w:rPr>
        <w:t>ものをオープンデータの対象とする。</w:t>
      </w:r>
    </w:p>
    <w:p w:rsidR="002C3A12" w:rsidRDefault="002C3A12" w:rsidP="00332E9B">
      <w:pPr>
        <w:pStyle w:val="a7"/>
        <w:numPr>
          <w:ilvl w:val="1"/>
          <w:numId w:val="2"/>
        </w:numPr>
        <w:ind w:leftChars="0" w:left="1701"/>
      </w:pPr>
      <w:r>
        <w:rPr>
          <w:rFonts w:hint="eastAsia"/>
        </w:rPr>
        <w:t>大阪市情報公開条例で定める「非公開情報」を含まないデータ</w:t>
      </w:r>
    </w:p>
    <w:p w:rsidR="00BF6EBE" w:rsidRDefault="00BF6EBE" w:rsidP="00332E9B">
      <w:pPr>
        <w:pStyle w:val="a7"/>
        <w:numPr>
          <w:ilvl w:val="1"/>
          <w:numId w:val="2"/>
        </w:numPr>
        <w:ind w:leftChars="0" w:left="1701"/>
      </w:pPr>
      <w:r>
        <w:rPr>
          <w:rFonts w:hint="eastAsia"/>
        </w:rPr>
        <w:t>著作権に関して次のいずれかに該当するデータ</w:t>
      </w:r>
    </w:p>
    <w:p w:rsidR="002E5074" w:rsidRDefault="003B50B6" w:rsidP="002E5074">
      <w:pPr>
        <w:pStyle w:val="a7"/>
        <w:numPr>
          <w:ilvl w:val="2"/>
          <w:numId w:val="2"/>
        </w:numPr>
        <w:ind w:leftChars="0" w:left="2154"/>
      </w:pPr>
      <w:r>
        <w:rPr>
          <w:rFonts w:hint="eastAsia"/>
        </w:rPr>
        <w:t>著作権が存在しない</w:t>
      </w:r>
    </w:p>
    <w:p w:rsidR="002E5074" w:rsidRDefault="003B50B6" w:rsidP="002E5074">
      <w:pPr>
        <w:pStyle w:val="a7"/>
        <w:numPr>
          <w:ilvl w:val="2"/>
          <w:numId w:val="2"/>
        </w:numPr>
        <w:ind w:leftChars="0" w:left="2154"/>
      </w:pPr>
      <w:r>
        <w:rPr>
          <w:rFonts w:hint="eastAsia"/>
        </w:rPr>
        <w:t>本市以外の第</w:t>
      </w:r>
      <w:r>
        <w:rPr>
          <w:rFonts w:hint="eastAsia"/>
        </w:rPr>
        <w:t>3</w:t>
      </w:r>
      <w:r>
        <w:rPr>
          <w:rFonts w:hint="eastAsia"/>
        </w:rPr>
        <w:t>者の著作物を含まない</w:t>
      </w:r>
    </w:p>
    <w:p w:rsidR="002E5074" w:rsidRDefault="00D21855" w:rsidP="002E5074">
      <w:pPr>
        <w:pStyle w:val="a7"/>
        <w:numPr>
          <w:ilvl w:val="2"/>
          <w:numId w:val="2"/>
        </w:numPr>
        <w:ind w:leftChars="0" w:left="2154"/>
      </w:pPr>
      <w:r>
        <w:rPr>
          <w:rFonts w:hint="eastAsia"/>
        </w:rPr>
        <w:t>本市以外の</w:t>
      </w:r>
      <w:r w:rsidR="003B50B6">
        <w:rPr>
          <w:rFonts w:hint="eastAsia"/>
        </w:rPr>
        <w:t>第</w:t>
      </w:r>
      <w:r w:rsidR="003B50B6">
        <w:rPr>
          <w:rFonts w:hint="eastAsia"/>
        </w:rPr>
        <w:t>3</w:t>
      </w:r>
      <w:r w:rsidR="003B50B6">
        <w:rPr>
          <w:rFonts w:hint="eastAsia"/>
        </w:rPr>
        <w:t>者の著作物を含むもののうち、著作権者がオープンデータに承諾している</w:t>
      </w:r>
    </w:p>
    <w:p w:rsidR="002E5074" w:rsidRDefault="002E5074" w:rsidP="002E5074"/>
    <w:p w:rsidR="00332E9B" w:rsidRDefault="00332E9B" w:rsidP="00A44B39">
      <w:pPr>
        <w:pStyle w:val="a7"/>
        <w:ind w:leftChars="0" w:left="1200"/>
      </w:pPr>
      <w:r>
        <w:rPr>
          <w:rFonts w:hint="eastAsia"/>
        </w:rPr>
        <w:t xml:space="preserve">　ただし、</w:t>
      </w:r>
      <w:r w:rsidR="00D21855">
        <w:rPr>
          <w:rFonts w:hint="eastAsia"/>
        </w:rPr>
        <w:t>このうち</w:t>
      </w:r>
      <w:r w:rsidR="0056710F">
        <w:rPr>
          <w:rFonts w:hint="eastAsia"/>
        </w:rPr>
        <w:t>次</w:t>
      </w:r>
      <w:r>
        <w:rPr>
          <w:rFonts w:hint="eastAsia"/>
        </w:rPr>
        <w:t>のものを優先的に対象とするものとする。</w:t>
      </w:r>
    </w:p>
    <w:p w:rsidR="00F7732F" w:rsidRDefault="00F70537">
      <w:pPr>
        <w:pStyle w:val="a7"/>
        <w:numPr>
          <w:ilvl w:val="0"/>
          <w:numId w:val="19"/>
        </w:numPr>
        <w:ind w:leftChars="0"/>
      </w:pPr>
      <w:r>
        <w:rPr>
          <w:rFonts w:hint="eastAsia"/>
        </w:rPr>
        <w:t>利用ニーズの高いデータ</w:t>
      </w:r>
    </w:p>
    <w:p w:rsidR="00F7732F" w:rsidRDefault="00EF0A1E">
      <w:pPr>
        <w:pStyle w:val="a7"/>
        <w:numPr>
          <w:ilvl w:val="0"/>
          <w:numId w:val="19"/>
        </w:numPr>
        <w:ind w:leftChars="0"/>
      </w:pPr>
      <w:r>
        <w:rPr>
          <w:rFonts w:hint="eastAsia"/>
        </w:rPr>
        <w:t>すでに</w:t>
      </w:r>
      <w:r w:rsidR="00A44B39">
        <w:rPr>
          <w:rFonts w:hint="eastAsia"/>
        </w:rPr>
        <w:t>ホームページで公開しているデータ</w:t>
      </w:r>
    </w:p>
    <w:p w:rsidR="00F7732F" w:rsidRDefault="00A44B39">
      <w:pPr>
        <w:pStyle w:val="a7"/>
        <w:numPr>
          <w:ilvl w:val="0"/>
          <w:numId w:val="19"/>
        </w:numPr>
        <w:ind w:leftChars="0"/>
      </w:pPr>
      <w:r>
        <w:rPr>
          <w:rFonts w:hint="eastAsia"/>
        </w:rPr>
        <w:t>機械判読可能な</w:t>
      </w:r>
      <w:r w:rsidR="001240E9">
        <w:rPr>
          <w:rFonts w:hint="eastAsia"/>
        </w:rPr>
        <w:t>ファイル</w:t>
      </w:r>
      <w:r>
        <w:rPr>
          <w:rFonts w:hint="eastAsia"/>
        </w:rPr>
        <w:t>形式で公開または保有しているデータ</w:t>
      </w:r>
    </w:p>
    <w:p w:rsidR="00AE47EF" w:rsidRDefault="00A44B39">
      <w:pPr>
        <w:pStyle w:val="a7"/>
        <w:numPr>
          <w:ilvl w:val="0"/>
          <w:numId w:val="19"/>
        </w:numPr>
        <w:ind w:leftChars="0"/>
      </w:pPr>
      <w:r>
        <w:rPr>
          <w:rFonts w:hint="eastAsia"/>
        </w:rPr>
        <w:t>継続的に公開可能なデータ</w:t>
      </w:r>
    </w:p>
    <w:p w:rsidR="00AE47EF" w:rsidRDefault="00AE47EF">
      <w:pPr>
        <w:pStyle w:val="a7"/>
        <w:ind w:leftChars="0" w:left="1838"/>
      </w:pPr>
    </w:p>
    <w:p w:rsidR="00B835AC" w:rsidRDefault="00B835AC" w:rsidP="00B835A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データ提供における</w:t>
      </w:r>
      <w:r w:rsidR="00AB62F5">
        <w:rPr>
          <w:rFonts w:hint="eastAsia"/>
        </w:rPr>
        <w:t>条件・</w:t>
      </w:r>
      <w:r>
        <w:rPr>
          <w:rFonts w:hint="eastAsia"/>
        </w:rPr>
        <w:t>免責事項</w:t>
      </w:r>
    </w:p>
    <w:p w:rsidR="008742A1" w:rsidRDefault="00332E9B" w:rsidP="00AA272B">
      <w:pPr>
        <w:ind w:left="1140"/>
      </w:pPr>
      <w:r>
        <w:rPr>
          <w:rFonts w:hint="eastAsia"/>
        </w:rPr>
        <w:t xml:space="preserve">　本市におけるオープンデータの提供条件としては、原則としてクリエイティブコモンズライセンスにおける「</w:t>
      </w:r>
      <w:r>
        <w:rPr>
          <w:rFonts w:hint="eastAsia"/>
        </w:rPr>
        <w:t>CC-BY</w:t>
      </w:r>
      <w:r>
        <w:rPr>
          <w:rFonts w:hint="eastAsia"/>
        </w:rPr>
        <w:t>」とする。ただし、これによりがたい場合は個別に検討するものとする。</w:t>
      </w:r>
    </w:p>
    <w:p w:rsidR="00444B49" w:rsidRDefault="001448FE" w:rsidP="00AA272B">
      <w:pPr>
        <w:ind w:left="1140"/>
      </w:pPr>
      <w:r>
        <w:rPr>
          <w:rFonts w:hint="eastAsia"/>
        </w:rPr>
        <w:t xml:space="preserve">　また、</w:t>
      </w:r>
      <w:r w:rsidR="0098424F">
        <w:rPr>
          <w:rFonts w:hint="eastAsia"/>
        </w:rPr>
        <w:t>利用者に対し、</w:t>
      </w:r>
      <w:r w:rsidR="00AB62F5">
        <w:rPr>
          <w:rFonts w:hint="eastAsia"/>
        </w:rPr>
        <w:t>利用条件や免責事項を</w:t>
      </w:r>
      <w:r w:rsidR="0098424F">
        <w:rPr>
          <w:rFonts w:hint="eastAsia"/>
        </w:rPr>
        <w:t>提示</w:t>
      </w:r>
      <w:r>
        <w:rPr>
          <w:rFonts w:hint="eastAsia"/>
        </w:rPr>
        <w:t>するものとする。</w:t>
      </w:r>
    </w:p>
    <w:p w:rsidR="006F0019" w:rsidRDefault="006F0019" w:rsidP="00444B49">
      <w:pPr>
        <w:ind w:leftChars="607" w:left="1275"/>
      </w:pPr>
    </w:p>
    <w:p w:rsidR="00B835AC" w:rsidRDefault="007C5172" w:rsidP="00B835A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オープンデータとしての</w:t>
      </w:r>
      <w:r w:rsidR="00B835AC">
        <w:rPr>
          <w:rFonts w:hint="eastAsia"/>
        </w:rPr>
        <w:t>公開方法</w:t>
      </w:r>
    </w:p>
    <w:p w:rsidR="00444B49" w:rsidRDefault="00444B49" w:rsidP="00444B49">
      <w:pPr>
        <w:ind w:left="1140"/>
      </w:pPr>
      <w:r>
        <w:rPr>
          <w:rFonts w:hint="eastAsia"/>
        </w:rPr>
        <w:t xml:space="preserve">　</w:t>
      </w:r>
      <w:r w:rsidR="007C5172">
        <w:rPr>
          <w:rFonts w:hint="eastAsia"/>
        </w:rPr>
        <w:t>オープンデータとしての</w:t>
      </w:r>
      <w:r>
        <w:rPr>
          <w:rFonts w:hint="eastAsia"/>
        </w:rPr>
        <w:t>公開方法については、大阪市ホームページ等を利用し、インターネットで公開することを基本とする。</w:t>
      </w:r>
      <w:r w:rsidR="003A4964">
        <w:rPr>
          <w:rFonts w:hint="eastAsia"/>
        </w:rPr>
        <w:t>また、データの検索性、利用における利便性向上を図るため、データ公開基盤（</w:t>
      </w:r>
      <w:r w:rsidR="00EC52AD">
        <w:rPr>
          <w:rFonts w:hint="eastAsia"/>
        </w:rPr>
        <w:t>カタログサイト</w:t>
      </w:r>
      <w:r w:rsidR="003A4964">
        <w:rPr>
          <w:rFonts w:hint="eastAsia"/>
        </w:rPr>
        <w:t>、</w:t>
      </w:r>
      <w:r w:rsidR="003A4964">
        <w:rPr>
          <w:rFonts w:hint="eastAsia"/>
        </w:rPr>
        <w:t>API</w:t>
      </w:r>
      <w:r w:rsidR="003E1D29">
        <w:rPr>
          <w:rFonts w:hint="eastAsia"/>
        </w:rPr>
        <w:t>等</w:t>
      </w:r>
      <w:r w:rsidR="003A4964">
        <w:rPr>
          <w:rFonts w:hint="eastAsia"/>
        </w:rPr>
        <w:t>）</w:t>
      </w:r>
      <w:r w:rsidR="00EC52AD">
        <w:rPr>
          <w:rFonts w:hint="eastAsia"/>
        </w:rPr>
        <w:t>を構築していく。</w:t>
      </w:r>
    </w:p>
    <w:p w:rsidR="00444B49" w:rsidRDefault="00444B49" w:rsidP="00444B49">
      <w:pPr>
        <w:ind w:left="1140"/>
      </w:pPr>
      <w:r>
        <w:rPr>
          <w:rFonts w:hint="eastAsia"/>
        </w:rPr>
        <w:t xml:space="preserve">　大阪市ホームページで公開する場合については、</w:t>
      </w:r>
      <w:r w:rsidR="00692CF0">
        <w:rPr>
          <w:rFonts w:hint="eastAsia"/>
        </w:rPr>
        <w:t>利用条件</w:t>
      </w:r>
      <w:r w:rsidR="00D472B2">
        <w:rPr>
          <w:rFonts w:hint="eastAsia"/>
        </w:rPr>
        <w:t>及び免責事項</w:t>
      </w:r>
      <w:r w:rsidR="00692CF0">
        <w:rPr>
          <w:rFonts w:hint="eastAsia"/>
        </w:rPr>
        <w:t>を</w:t>
      </w:r>
      <w:r>
        <w:rPr>
          <w:rFonts w:hint="eastAsia"/>
        </w:rPr>
        <w:t>データの近傍に掲載するものとする。</w:t>
      </w:r>
    </w:p>
    <w:p w:rsidR="00444B49" w:rsidRDefault="00444B49" w:rsidP="00444B49"/>
    <w:p w:rsidR="00B835AC" w:rsidRDefault="00B835AC" w:rsidP="00B835A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データ形式</w:t>
      </w:r>
    </w:p>
    <w:p w:rsidR="0099060B" w:rsidRDefault="0099060B" w:rsidP="0099060B">
      <w:pPr>
        <w:ind w:left="1140"/>
      </w:pPr>
      <w:r>
        <w:rPr>
          <w:rFonts w:hint="eastAsia"/>
        </w:rPr>
        <w:t xml:space="preserve">　</w:t>
      </w:r>
      <w:r w:rsidR="004B144A">
        <w:rPr>
          <w:rFonts w:hint="eastAsia"/>
        </w:rPr>
        <w:t>データ形式は機械判読可能な</w:t>
      </w:r>
      <w:r w:rsidR="00D472B2">
        <w:rPr>
          <w:rFonts w:hint="eastAsia"/>
        </w:rPr>
        <w:t>ファイル</w:t>
      </w:r>
      <w:r w:rsidR="004B144A">
        <w:rPr>
          <w:rFonts w:hint="eastAsia"/>
        </w:rPr>
        <w:t>形式</w:t>
      </w:r>
      <w:r w:rsidR="00EE4D7F">
        <w:rPr>
          <w:rFonts w:hint="eastAsia"/>
        </w:rPr>
        <w:t>が理想であるが、ファイル形式を問わずオープンデータ化することを優先する。ただし、可能なものから機械判読可能な形式（</w:t>
      </w:r>
      <w:r w:rsidR="00EE4D7F">
        <w:rPr>
          <w:rFonts w:hint="eastAsia"/>
        </w:rPr>
        <w:t>CSV</w:t>
      </w:r>
      <w:r w:rsidR="00EE4D7F">
        <w:rPr>
          <w:rFonts w:hint="eastAsia"/>
        </w:rPr>
        <w:t>形式等）に変更していくものとする。</w:t>
      </w:r>
    </w:p>
    <w:p w:rsidR="001448FE" w:rsidRPr="00EE4D7F" w:rsidRDefault="001448FE" w:rsidP="001448FE"/>
    <w:p w:rsidR="00B835AC" w:rsidRDefault="00B835AC" w:rsidP="00B835A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システム仕様への反映</w:t>
      </w:r>
    </w:p>
    <w:p w:rsidR="00781297" w:rsidRDefault="00781297" w:rsidP="00781297">
      <w:pPr>
        <w:ind w:left="1140"/>
      </w:pPr>
      <w:r>
        <w:rPr>
          <w:rFonts w:hint="eastAsia"/>
        </w:rPr>
        <w:t xml:space="preserve">　オープンデータにすべきデータを保持するシステムに関して、効率的な公開を進めるため、システムの仕様にオープンデータを意識した機能を盛り込む</w:t>
      </w:r>
      <w:r w:rsidR="00D472B2">
        <w:rPr>
          <w:rFonts w:hint="eastAsia"/>
        </w:rPr>
        <w:t>ものとする</w:t>
      </w:r>
      <w:r>
        <w:rPr>
          <w:rFonts w:hint="eastAsia"/>
        </w:rPr>
        <w:t>。</w:t>
      </w:r>
    </w:p>
    <w:p w:rsidR="00781297" w:rsidRPr="00D472B2" w:rsidRDefault="00781297" w:rsidP="00781297">
      <w:pPr>
        <w:ind w:left="1140"/>
      </w:pPr>
    </w:p>
    <w:p w:rsidR="00B835AC" w:rsidRDefault="00B835AC" w:rsidP="00B835A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委託業務への反映</w:t>
      </w:r>
    </w:p>
    <w:p w:rsidR="00781297" w:rsidRDefault="00781297" w:rsidP="00781297">
      <w:pPr>
        <w:ind w:left="1140"/>
      </w:pPr>
      <w:r>
        <w:rPr>
          <w:rFonts w:hint="eastAsia"/>
        </w:rPr>
        <w:t xml:space="preserve">　委託業務の成果物について、</w:t>
      </w:r>
      <w:r w:rsidR="00E26BE9">
        <w:rPr>
          <w:rFonts w:hint="eastAsia"/>
        </w:rPr>
        <w:t>オープンデータ化を図っていく</w:t>
      </w:r>
      <w:r>
        <w:rPr>
          <w:rFonts w:hint="eastAsia"/>
        </w:rPr>
        <w:t>データが含まれる場合は、機械判読可能な</w:t>
      </w:r>
      <w:r w:rsidR="00D472B2">
        <w:rPr>
          <w:rFonts w:hint="eastAsia"/>
        </w:rPr>
        <w:t>ファイル</w:t>
      </w:r>
      <w:r>
        <w:rPr>
          <w:rFonts w:hint="eastAsia"/>
        </w:rPr>
        <w:t>形式</w:t>
      </w:r>
      <w:r w:rsidR="00EE4D7F">
        <w:rPr>
          <w:rFonts w:hint="eastAsia"/>
        </w:rPr>
        <w:t>を併せて</w:t>
      </w:r>
      <w:r>
        <w:rPr>
          <w:rFonts w:hint="eastAsia"/>
        </w:rPr>
        <w:t>提出する</w:t>
      </w:r>
      <w:r w:rsidR="00784A38">
        <w:rPr>
          <w:rFonts w:hint="eastAsia"/>
        </w:rPr>
        <w:t>ことを求める</w:t>
      </w:r>
      <w:r w:rsidR="007C5172">
        <w:rPr>
          <w:rFonts w:hint="eastAsia"/>
        </w:rPr>
        <w:t>とともに、公開したデータの</w:t>
      </w:r>
      <w:r w:rsidR="007C5172">
        <w:rPr>
          <w:rFonts w:hint="eastAsia"/>
        </w:rPr>
        <w:t>2</w:t>
      </w:r>
      <w:r w:rsidR="007C5172">
        <w:rPr>
          <w:rFonts w:hint="eastAsia"/>
        </w:rPr>
        <w:t>次利用を認めることを前提とした</w:t>
      </w:r>
      <w:r>
        <w:rPr>
          <w:rFonts w:hint="eastAsia"/>
        </w:rPr>
        <w:t>仕様とする。</w:t>
      </w:r>
    </w:p>
    <w:p w:rsidR="00781297" w:rsidRPr="007C5172" w:rsidRDefault="00781297" w:rsidP="00781297">
      <w:pPr>
        <w:ind w:left="1140"/>
      </w:pPr>
    </w:p>
    <w:p w:rsidR="00B835AC" w:rsidRDefault="00B835AC" w:rsidP="00B835A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業務フローにおける</w:t>
      </w:r>
      <w:r w:rsidR="00EE4D7F">
        <w:rPr>
          <w:rFonts w:hint="eastAsia"/>
        </w:rPr>
        <w:t>オープンデータの</w:t>
      </w:r>
      <w:r>
        <w:rPr>
          <w:rFonts w:hint="eastAsia"/>
        </w:rPr>
        <w:t>意識付け</w:t>
      </w:r>
    </w:p>
    <w:p w:rsidR="00781297" w:rsidRDefault="00092A83" w:rsidP="00781297">
      <w:pPr>
        <w:ind w:left="1140"/>
      </w:pPr>
      <w:r>
        <w:rPr>
          <w:rFonts w:hint="eastAsia"/>
        </w:rPr>
        <w:t xml:space="preserve">　</w:t>
      </w:r>
      <w:r w:rsidR="00EE4D7F">
        <w:rPr>
          <w:rFonts w:hint="eastAsia"/>
        </w:rPr>
        <w:t>効率的にオープンデータを作成できるよう、</w:t>
      </w:r>
      <w:r>
        <w:rPr>
          <w:rFonts w:hint="eastAsia"/>
        </w:rPr>
        <w:t>通常業務フロー</w:t>
      </w:r>
      <w:r w:rsidR="00EE4D7F">
        <w:rPr>
          <w:rFonts w:hint="eastAsia"/>
        </w:rPr>
        <w:t>におけるデータ作成</w:t>
      </w:r>
      <w:r w:rsidR="00A11E90">
        <w:rPr>
          <w:rFonts w:hint="eastAsia"/>
        </w:rPr>
        <w:t>過程において</w:t>
      </w:r>
      <w:r w:rsidR="00EE4D7F">
        <w:rPr>
          <w:rFonts w:hint="eastAsia"/>
        </w:rPr>
        <w:t>、</w:t>
      </w:r>
      <w:r w:rsidR="00A11E90">
        <w:rPr>
          <w:rFonts w:hint="eastAsia"/>
        </w:rPr>
        <w:t>機械判読可能な</w:t>
      </w:r>
      <w:r w:rsidR="00EE4D7F">
        <w:rPr>
          <w:rFonts w:hint="eastAsia"/>
        </w:rPr>
        <w:t>ファイル形式のデータを</w:t>
      </w:r>
      <w:r w:rsidR="00AF7F0B">
        <w:rPr>
          <w:rFonts w:hint="eastAsia"/>
        </w:rPr>
        <w:t>作成できるよう</w:t>
      </w:r>
      <w:r w:rsidR="00EE4D7F">
        <w:rPr>
          <w:rFonts w:hint="eastAsia"/>
        </w:rPr>
        <w:t>意識付けをおこなうものとする</w:t>
      </w:r>
      <w:r w:rsidR="00A11E90">
        <w:rPr>
          <w:rFonts w:hint="eastAsia"/>
        </w:rPr>
        <w:t>。</w:t>
      </w:r>
    </w:p>
    <w:p w:rsidR="00781297" w:rsidRPr="00AF7F0B" w:rsidRDefault="00781297" w:rsidP="00781297">
      <w:pPr>
        <w:ind w:left="1140"/>
      </w:pPr>
    </w:p>
    <w:p w:rsidR="00B835AC" w:rsidRDefault="00B835AC" w:rsidP="00B835A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啓発活動</w:t>
      </w:r>
    </w:p>
    <w:p w:rsidR="00781297" w:rsidRDefault="00781297" w:rsidP="00781297">
      <w:pPr>
        <w:ind w:left="1140"/>
      </w:pPr>
      <w:r>
        <w:rPr>
          <w:rFonts w:hint="eastAsia"/>
        </w:rPr>
        <w:t xml:space="preserve">　オープンデータの意義、効果、取り組み方針について、職員への周知・啓発を行っていく</w:t>
      </w:r>
      <w:r w:rsidR="00D472B2">
        <w:rPr>
          <w:rFonts w:hint="eastAsia"/>
        </w:rPr>
        <w:t>ものとする</w:t>
      </w:r>
      <w:r>
        <w:rPr>
          <w:rFonts w:hint="eastAsia"/>
        </w:rPr>
        <w:t>。</w:t>
      </w:r>
    </w:p>
    <w:p w:rsidR="00781297" w:rsidRDefault="00781297" w:rsidP="00781297">
      <w:pPr>
        <w:ind w:left="1140"/>
      </w:pPr>
    </w:p>
    <w:p w:rsidR="00B835AC" w:rsidRDefault="00B835AC" w:rsidP="00B835A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利活用促進</w:t>
      </w:r>
    </w:p>
    <w:p w:rsidR="00342577" w:rsidRDefault="00781297" w:rsidP="00CF06E5">
      <w:pPr>
        <w:ind w:left="1140"/>
      </w:pPr>
      <w:r>
        <w:rPr>
          <w:rFonts w:hint="eastAsia"/>
        </w:rPr>
        <w:t xml:space="preserve">　</w:t>
      </w:r>
      <w:r w:rsidR="00692CF0">
        <w:rPr>
          <w:rFonts w:hint="eastAsia"/>
        </w:rPr>
        <w:t>市民</w:t>
      </w:r>
      <w:r w:rsidR="00D472B2">
        <w:rPr>
          <w:rFonts w:hint="eastAsia"/>
        </w:rPr>
        <w:t>及び</w:t>
      </w:r>
      <w:r w:rsidR="00692CF0">
        <w:rPr>
          <w:rFonts w:hint="eastAsia"/>
        </w:rPr>
        <w:t>民間事業</w:t>
      </w:r>
      <w:r w:rsidR="00CF06E5">
        <w:rPr>
          <w:rFonts w:hint="eastAsia"/>
        </w:rPr>
        <w:t>者</w:t>
      </w:r>
      <w:r w:rsidR="00692CF0">
        <w:rPr>
          <w:rFonts w:hint="eastAsia"/>
        </w:rPr>
        <w:t>による</w:t>
      </w:r>
      <w:r w:rsidR="00CF06E5">
        <w:rPr>
          <w:rFonts w:hint="eastAsia"/>
        </w:rPr>
        <w:t>データ</w:t>
      </w:r>
      <w:r>
        <w:rPr>
          <w:rFonts w:hint="eastAsia"/>
        </w:rPr>
        <w:t>利活用</w:t>
      </w:r>
      <w:r w:rsidR="00CF06E5">
        <w:rPr>
          <w:rFonts w:hint="eastAsia"/>
        </w:rPr>
        <w:t>を</w:t>
      </w:r>
      <w:r>
        <w:rPr>
          <w:rFonts w:hint="eastAsia"/>
        </w:rPr>
        <w:t>促進</w:t>
      </w:r>
      <w:r w:rsidR="00CF06E5">
        <w:rPr>
          <w:rFonts w:hint="eastAsia"/>
        </w:rPr>
        <w:t>し、また</w:t>
      </w:r>
      <w:r w:rsidR="00692CF0">
        <w:rPr>
          <w:rFonts w:hint="eastAsia"/>
        </w:rPr>
        <w:t>ニーズの把握</w:t>
      </w:r>
      <w:r w:rsidR="00CF06E5">
        <w:rPr>
          <w:rFonts w:hint="eastAsia"/>
        </w:rPr>
        <w:t>に努めニーズの高いデータの提供につなげる</w:t>
      </w:r>
      <w:r w:rsidR="00D472B2">
        <w:rPr>
          <w:rFonts w:hint="eastAsia"/>
        </w:rPr>
        <w:t>ものとする</w:t>
      </w:r>
      <w:r w:rsidR="00CF06E5">
        <w:rPr>
          <w:rFonts w:hint="eastAsia"/>
        </w:rPr>
        <w:t>。</w:t>
      </w:r>
    </w:p>
    <w:p w:rsidR="00781297" w:rsidRPr="00CF06E5" w:rsidRDefault="00781297" w:rsidP="00342577">
      <w:pPr>
        <w:pStyle w:val="a7"/>
        <w:ind w:leftChars="0" w:left="1140"/>
      </w:pPr>
    </w:p>
    <w:p w:rsidR="003A4964" w:rsidRPr="000E5C70" w:rsidRDefault="003A4964" w:rsidP="003A4964"/>
    <w:p w:rsidR="003A4964" w:rsidRDefault="00CD4435" w:rsidP="003A4964">
      <w:r>
        <w:rPr>
          <w:rFonts w:hint="eastAsia"/>
        </w:rPr>
        <w:t>附則</w:t>
      </w:r>
    </w:p>
    <w:p w:rsidR="00CD4435" w:rsidRPr="00BE27F8" w:rsidRDefault="00CD4435" w:rsidP="003A4964">
      <w:r w:rsidRPr="00CD4435">
        <w:rPr>
          <w:rFonts w:hint="eastAsia"/>
        </w:rPr>
        <w:t>この指針は、平成</w:t>
      </w:r>
      <w:r w:rsidRPr="00CD4435">
        <w:rPr>
          <w:rFonts w:hint="eastAsia"/>
        </w:rPr>
        <w:t>2</w:t>
      </w:r>
      <w:r w:rsidR="00BA191D">
        <w:rPr>
          <w:rFonts w:hint="eastAsia"/>
        </w:rPr>
        <w:t>8</w:t>
      </w:r>
      <w:r w:rsidRPr="00CD4435">
        <w:rPr>
          <w:rFonts w:hint="eastAsia"/>
        </w:rPr>
        <w:t>年</w:t>
      </w:r>
      <w:r w:rsidR="00BA191D">
        <w:rPr>
          <w:rFonts w:hint="eastAsia"/>
        </w:rPr>
        <w:t>4</w:t>
      </w:r>
      <w:r w:rsidRPr="00CD4435">
        <w:rPr>
          <w:rFonts w:hint="eastAsia"/>
        </w:rPr>
        <w:t>月</w:t>
      </w:r>
      <w:r w:rsidR="00BA191D">
        <w:rPr>
          <w:rFonts w:hint="eastAsia"/>
        </w:rPr>
        <w:t>1</w:t>
      </w:r>
      <w:r w:rsidRPr="00CD4435">
        <w:rPr>
          <w:rFonts w:hint="eastAsia"/>
        </w:rPr>
        <w:t>日から施行する。</w:t>
      </w:r>
    </w:p>
    <w:sectPr w:rsidR="00CD4435" w:rsidRPr="00BE27F8" w:rsidSect="00085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8F" w:rsidRDefault="00DA0F8F" w:rsidP="00612E63">
      <w:r>
        <w:separator/>
      </w:r>
    </w:p>
  </w:endnote>
  <w:endnote w:type="continuationSeparator" w:id="0">
    <w:p w:rsidR="00DA0F8F" w:rsidRDefault="00DA0F8F" w:rsidP="0061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43" w:rsidRDefault="00BF65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43" w:rsidRDefault="00BF65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43" w:rsidRDefault="00BF6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8F" w:rsidRDefault="00DA0F8F" w:rsidP="00612E63">
      <w:r>
        <w:separator/>
      </w:r>
    </w:p>
  </w:footnote>
  <w:footnote w:type="continuationSeparator" w:id="0">
    <w:p w:rsidR="00DA0F8F" w:rsidRDefault="00DA0F8F" w:rsidP="0061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43" w:rsidRDefault="00BF6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0F" w:rsidRDefault="00515E0F" w:rsidP="00515E0F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43" w:rsidRDefault="00BF65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625"/>
    <w:multiLevelType w:val="hybridMultilevel"/>
    <w:tmpl w:val="CBB462E0"/>
    <w:lvl w:ilvl="0" w:tplc="09FA1F5A">
      <w:numFmt w:val="bullet"/>
      <w:lvlText w:val="・"/>
      <w:lvlJc w:val="left"/>
      <w:pPr>
        <w:ind w:left="284" w:hanging="284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106D1"/>
    <w:multiLevelType w:val="hybridMultilevel"/>
    <w:tmpl w:val="761C82F2"/>
    <w:lvl w:ilvl="0" w:tplc="8EE435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78" w:hanging="36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7412AA"/>
    <w:multiLevelType w:val="hybridMultilevel"/>
    <w:tmpl w:val="4964DBD8"/>
    <w:lvl w:ilvl="0" w:tplc="0409000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17C05C99"/>
    <w:multiLevelType w:val="hybridMultilevel"/>
    <w:tmpl w:val="4E965D0A"/>
    <w:lvl w:ilvl="0" w:tplc="005AC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245D40"/>
    <w:multiLevelType w:val="hybridMultilevel"/>
    <w:tmpl w:val="C00E73A2"/>
    <w:lvl w:ilvl="0" w:tplc="EC08917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B13293"/>
    <w:multiLevelType w:val="hybridMultilevel"/>
    <w:tmpl w:val="DB7000B8"/>
    <w:lvl w:ilvl="0" w:tplc="B6324B2C">
      <w:numFmt w:val="bullet"/>
      <w:lvlText w:val="・"/>
      <w:lvlJc w:val="left"/>
      <w:pPr>
        <w:ind w:left="284" w:hanging="284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E31AA8"/>
    <w:multiLevelType w:val="hybridMultilevel"/>
    <w:tmpl w:val="A11C40DC"/>
    <w:lvl w:ilvl="0" w:tplc="B7B05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4F722C"/>
    <w:multiLevelType w:val="hybridMultilevel"/>
    <w:tmpl w:val="B61CFF4E"/>
    <w:lvl w:ilvl="0" w:tplc="005AC968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675545D"/>
    <w:multiLevelType w:val="hybridMultilevel"/>
    <w:tmpl w:val="900A3F16"/>
    <w:lvl w:ilvl="0" w:tplc="14CEA3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6718BF"/>
    <w:multiLevelType w:val="hybridMultilevel"/>
    <w:tmpl w:val="AD4A6AB6"/>
    <w:lvl w:ilvl="0" w:tplc="14CEA36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98B1795"/>
    <w:multiLevelType w:val="hybridMultilevel"/>
    <w:tmpl w:val="BBD09C56"/>
    <w:lvl w:ilvl="0" w:tplc="688652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5AC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EA6731"/>
    <w:multiLevelType w:val="hybridMultilevel"/>
    <w:tmpl w:val="BBDEC042"/>
    <w:lvl w:ilvl="0" w:tplc="04090001">
      <w:start w:val="1"/>
      <w:numFmt w:val="bullet"/>
      <w:lvlText w:val="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2" w15:restartNumberingAfterBreak="0">
    <w:nsid w:val="5279326F"/>
    <w:multiLevelType w:val="hybridMultilevel"/>
    <w:tmpl w:val="AE48761C"/>
    <w:lvl w:ilvl="0" w:tplc="14CEA36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46617A0"/>
    <w:multiLevelType w:val="hybridMultilevel"/>
    <w:tmpl w:val="2A266AB4"/>
    <w:lvl w:ilvl="0" w:tplc="D7D48472"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3B3C6A"/>
    <w:multiLevelType w:val="hybridMultilevel"/>
    <w:tmpl w:val="D68AF9C6"/>
    <w:lvl w:ilvl="0" w:tplc="024EC562">
      <w:numFmt w:val="bullet"/>
      <w:lvlText w:val="・"/>
      <w:lvlJc w:val="left"/>
      <w:pPr>
        <w:ind w:left="340" w:hanging="34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FE5536"/>
    <w:multiLevelType w:val="hybridMultilevel"/>
    <w:tmpl w:val="5C9AF9A4"/>
    <w:lvl w:ilvl="0" w:tplc="8EE435F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753059"/>
    <w:multiLevelType w:val="hybridMultilevel"/>
    <w:tmpl w:val="24E23E0C"/>
    <w:lvl w:ilvl="0" w:tplc="94FE5178">
      <w:numFmt w:val="bullet"/>
      <w:lvlText w:val="・"/>
      <w:lvlJc w:val="left"/>
      <w:pPr>
        <w:ind w:left="284" w:hanging="284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783F72"/>
    <w:multiLevelType w:val="hybridMultilevel"/>
    <w:tmpl w:val="3A02C7A8"/>
    <w:lvl w:ilvl="0" w:tplc="14CEA364"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8" w15:restartNumberingAfterBreak="0">
    <w:nsid w:val="74EA11F6"/>
    <w:multiLevelType w:val="hybridMultilevel"/>
    <w:tmpl w:val="5A888C14"/>
    <w:lvl w:ilvl="0" w:tplc="EFCC215A">
      <w:numFmt w:val="bullet"/>
      <w:lvlText w:val="・"/>
      <w:lvlJc w:val="left"/>
      <w:pPr>
        <w:ind w:left="284" w:hanging="284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15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14"/>
  </w:num>
  <w:num w:numId="14">
    <w:abstractNumId w:val="13"/>
  </w:num>
  <w:num w:numId="15">
    <w:abstractNumId w:val="0"/>
  </w:num>
  <w:num w:numId="16">
    <w:abstractNumId w:val="16"/>
  </w:num>
  <w:num w:numId="17">
    <w:abstractNumId w:val="5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E63"/>
    <w:rsid w:val="00013EFC"/>
    <w:rsid w:val="00035D59"/>
    <w:rsid w:val="000561B8"/>
    <w:rsid w:val="00080FEE"/>
    <w:rsid w:val="0008549A"/>
    <w:rsid w:val="00092A83"/>
    <w:rsid w:val="000B0CF1"/>
    <w:rsid w:val="000D5E6F"/>
    <w:rsid w:val="000E5C70"/>
    <w:rsid w:val="000F54D5"/>
    <w:rsid w:val="00106CBA"/>
    <w:rsid w:val="00120221"/>
    <w:rsid w:val="001240E9"/>
    <w:rsid w:val="00142127"/>
    <w:rsid w:val="001448FE"/>
    <w:rsid w:val="001936BF"/>
    <w:rsid w:val="001F1656"/>
    <w:rsid w:val="00284737"/>
    <w:rsid w:val="002A30A0"/>
    <w:rsid w:val="002B17C1"/>
    <w:rsid w:val="002C3A12"/>
    <w:rsid w:val="002E5074"/>
    <w:rsid w:val="002E743C"/>
    <w:rsid w:val="002F0722"/>
    <w:rsid w:val="002F0D61"/>
    <w:rsid w:val="00332E9B"/>
    <w:rsid w:val="00342577"/>
    <w:rsid w:val="00362826"/>
    <w:rsid w:val="003915D9"/>
    <w:rsid w:val="003A3225"/>
    <w:rsid w:val="003A4964"/>
    <w:rsid w:val="003B50B6"/>
    <w:rsid w:val="003E1D29"/>
    <w:rsid w:val="003E1FD0"/>
    <w:rsid w:val="004038F5"/>
    <w:rsid w:val="00410571"/>
    <w:rsid w:val="004106CE"/>
    <w:rsid w:val="00444B49"/>
    <w:rsid w:val="004610ED"/>
    <w:rsid w:val="00472D9C"/>
    <w:rsid w:val="00475C4C"/>
    <w:rsid w:val="00485BD6"/>
    <w:rsid w:val="004A2FB9"/>
    <w:rsid w:val="004B144A"/>
    <w:rsid w:val="004B6D58"/>
    <w:rsid w:val="004D0F9E"/>
    <w:rsid w:val="005025BC"/>
    <w:rsid w:val="00503E1D"/>
    <w:rsid w:val="00515E0F"/>
    <w:rsid w:val="00517EEB"/>
    <w:rsid w:val="00552A47"/>
    <w:rsid w:val="0056710F"/>
    <w:rsid w:val="00582DFC"/>
    <w:rsid w:val="00587186"/>
    <w:rsid w:val="005A6815"/>
    <w:rsid w:val="005F1F03"/>
    <w:rsid w:val="005F6A5B"/>
    <w:rsid w:val="006009A8"/>
    <w:rsid w:val="006027AE"/>
    <w:rsid w:val="0060789C"/>
    <w:rsid w:val="00612E63"/>
    <w:rsid w:val="00643323"/>
    <w:rsid w:val="0065256D"/>
    <w:rsid w:val="006559D3"/>
    <w:rsid w:val="00666C56"/>
    <w:rsid w:val="00667A11"/>
    <w:rsid w:val="006723EA"/>
    <w:rsid w:val="00686CF0"/>
    <w:rsid w:val="00692CF0"/>
    <w:rsid w:val="006A2284"/>
    <w:rsid w:val="006D0B91"/>
    <w:rsid w:val="006F0019"/>
    <w:rsid w:val="007176EF"/>
    <w:rsid w:val="00781297"/>
    <w:rsid w:val="00784A38"/>
    <w:rsid w:val="00794995"/>
    <w:rsid w:val="007B1EF7"/>
    <w:rsid w:val="007B228B"/>
    <w:rsid w:val="007C5172"/>
    <w:rsid w:val="007D2E4C"/>
    <w:rsid w:val="007D648C"/>
    <w:rsid w:val="007E0311"/>
    <w:rsid w:val="00830DCB"/>
    <w:rsid w:val="00854055"/>
    <w:rsid w:val="00854C18"/>
    <w:rsid w:val="008742A1"/>
    <w:rsid w:val="00875DD2"/>
    <w:rsid w:val="00882956"/>
    <w:rsid w:val="008B38B6"/>
    <w:rsid w:val="008F3D5D"/>
    <w:rsid w:val="0090186A"/>
    <w:rsid w:val="00914D23"/>
    <w:rsid w:val="0094439F"/>
    <w:rsid w:val="00964C13"/>
    <w:rsid w:val="0098424F"/>
    <w:rsid w:val="0099060B"/>
    <w:rsid w:val="00997D8D"/>
    <w:rsid w:val="009C0768"/>
    <w:rsid w:val="009E54F1"/>
    <w:rsid w:val="00A11E90"/>
    <w:rsid w:val="00A272EF"/>
    <w:rsid w:val="00A44B39"/>
    <w:rsid w:val="00A466E6"/>
    <w:rsid w:val="00AA1237"/>
    <w:rsid w:val="00AA272B"/>
    <w:rsid w:val="00AB62F5"/>
    <w:rsid w:val="00AD589F"/>
    <w:rsid w:val="00AE28B0"/>
    <w:rsid w:val="00AE47EF"/>
    <w:rsid w:val="00AF7F0B"/>
    <w:rsid w:val="00B01574"/>
    <w:rsid w:val="00B31DDC"/>
    <w:rsid w:val="00B6291B"/>
    <w:rsid w:val="00B80D27"/>
    <w:rsid w:val="00B835AC"/>
    <w:rsid w:val="00B86574"/>
    <w:rsid w:val="00B961BE"/>
    <w:rsid w:val="00BA191D"/>
    <w:rsid w:val="00BA462E"/>
    <w:rsid w:val="00BB4E16"/>
    <w:rsid w:val="00BC35D7"/>
    <w:rsid w:val="00BE27F8"/>
    <w:rsid w:val="00BF26AC"/>
    <w:rsid w:val="00BF6543"/>
    <w:rsid w:val="00BF6EBE"/>
    <w:rsid w:val="00C023ED"/>
    <w:rsid w:val="00C30AC0"/>
    <w:rsid w:val="00C84110"/>
    <w:rsid w:val="00CB17CC"/>
    <w:rsid w:val="00CD4435"/>
    <w:rsid w:val="00CF06E5"/>
    <w:rsid w:val="00D0466A"/>
    <w:rsid w:val="00D21855"/>
    <w:rsid w:val="00D2437C"/>
    <w:rsid w:val="00D472B2"/>
    <w:rsid w:val="00D860B2"/>
    <w:rsid w:val="00D927BF"/>
    <w:rsid w:val="00D97B05"/>
    <w:rsid w:val="00DA0F8F"/>
    <w:rsid w:val="00DB0520"/>
    <w:rsid w:val="00E26BE9"/>
    <w:rsid w:val="00EA3EA5"/>
    <w:rsid w:val="00EC52AD"/>
    <w:rsid w:val="00EE4D7F"/>
    <w:rsid w:val="00EF0A1E"/>
    <w:rsid w:val="00F17724"/>
    <w:rsid w:val="00F203DC"/>
    <w:rsid w:val="00F3493F"/>
    <w:rsid w:val="00F44FA6"/>
    <w:rsid w:val="00F52ADF"/>
    <w:rsid w:val="00F61095"/>
    <w:rsid w:val="00F70537"/>
    <w:rsid w:val="00F7732F"/>
    <w:rsid w:val="00FC7DDA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E63"/>
  </w:style>
  <w:style w:type="paragraph" w:styleId="a5">
    <w:name w:val="footer"/>
    <w:basedOn w:val="a"/>
    <w:link w:val="a6"/>
    <w:uiPriority w:val="99"/>
    <w:unhideWhenUsed/>
    <w:rsid w:val="00612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E63"/>
  </w:style>
  <w:style w:type="paragraph" w:styleId="a7">
    <w:name w:val="List Paragraph"/>
    <w:basedOn w:val="a"/>
    <w:uiPriority w:val="34"/>
    <w:qFormat/>
    <w:rsid w:val="00612E63"/>
    <w:pPr>
      <w:ind w:leftChars="400" w:left="840"/>
    </w:pPr>
  </w:style>
  <w:style w:type="table" w:styleId="a8">
    <w:name w:val="Table Grid"/>
    <w:basedOn w:val="a1"/>
    <w:uiPriority w:val="59"/>
    <w:rsid w:val="0044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448F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4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48F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F3493F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B31DD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31DD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31DD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1DD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3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9200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2122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198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2021-10-11T04:56:00Z</dcterms:created>
  <dcterms:modified xsi:type="dcterms:W3CDTF">2021-10-11T04:56:00Z</dcterms:modified>
</cp:coreProperties>
</file>