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B45" w:rsidRPr="00CD7CD8" w:rsidRDefault="000D1B45" w:rsidP="00117792">
      <w:pPr>
        <w:pStyle w:val="Default"/>
        <w:spacing w:line="310" w:lineRule="exact"/>
        <w:jc w:val="center"/>
        <w:rPr>
          <w:rFonts w:ascii="ＭＳ ゴシック" w:eastAsia="ＭＳ ゴシック" w:hAnsi="ＭＳ ゴシック"/>
          <w:color w:val="000000" w:themeColor="text1"/>
          <w:sz w:val="21"/>
          <w:szCs w:val="21"/>
        </w:rPr>
      </w:pPr>
      <w:bookmarkStart w:id="0" w:name="_GoBack"/>
      <w:bookmarkEnd w:id="0"/>
      <w:r w:rsidRPr="00CD7CD8">
        <w:rPr>
          <w:rFonts w:ascii="ＭＳ ゴシック" w:eastAsia="ＭＳ ゴシック" w:hAnsi="ＭＳ ゴシック" w:hint="eastAsia"/>
          <w:color w:val="000000" w:themeColor="text1"/>
          <w:sz w:val="21"/>
          <w:szCs w:val="21"/>
        </w:rPr>
        <w:t>大阪市</w:t>
      </w:r>
      <w:r w:rsidRPr="00CD7CD8">
        <w:rPr>
          <w:rFonts w:ascii="ＭＳ ゴシック" w:eastAsia="ＭＳ ゴシック" w:hAnsi="ＭＳ ゴシック"/>
          <w:color w:val="000000" w:themeColor="text1"/>
          <w:sz w:val="21"/>
          <w:szCs w:val="21"/>
        </w:rPr>
        <w:t>公共建築物等における木材利用</w:t>
      </w:r>
      <w:r w:rsidRPr="00CD7CD8">
        <w:rPr>
          <w:rFonts w:ascii="ＭＳ ゴシック" w:eastAsia="ＭＳ ゴシック" w:hAnsi="ＭＳ ゴシック" w:hint="eastAsia"/>
          <w:color w:val="000000" w:themeColor="text1"/>
          <w:sz w:val="21"/>
          <w:szCs w:val="21"/>
        </w:rPr>
        <w:t>基本</w:t>
      </w:r>
      <w:r w:rsidRPr="00CD7CD8">
        <w:rPr>
          <w:rFonts w:ascii="ＭＳ ゴシック" w:eastAsia="ＭＳ ゴシック" w:hAnsi="ＭＳ ゴシック"/>
          <w:color w:val="000000" w:themeColor="text1"/>
          <w:sz w:val="21"/>
          <w:szCs w:val="21"/>
        </w:rPr>
        <w:t>方針</w:t>
      </w:r>
    </w:p>
    <w:p w:rsidR="00565942" w:rsidRPr="00CA0D71" w:rsidRDefault="00565942" w:rsidP="00565942">
      <w:pPr>
        <w:pStyle w:val="Default"/>
        <w:spacing w:line="310" w:lineRule="exact"/>
        <w:jc w:val="right"/>
        <w:rPr>
          <w:rFonts w:ascii="ＭＳ ゴシック" w:eastAsia="ＭＳ ゴシック" w:hAnsi="ＭＳ ゴシック"/>
          <w:color w:val="auto"/>
          <w:sz w:val="21"/>
          <w:szCs w:val="21"/>
        </w:rPr>
      </w:pPr>
      <w:r w:rsidRPr="00CA0D71">
        <w:rPr>
          <w:rFonts w:ascii="ＭＳ ゴシック" w:eastAsia="ＭＳ ゴシック" w:hAnsi="ＭＳ ゴシック"/>
          <w:color w:val="auto"/>
          <w:sz w:val="21"/>
          <w:szCs w:val="21"/>
        </w:rPr>
        <w:t>策定平成</w:t>
      </w:r>
      <w:r w:rsidRPr="00CA0D71">
        <w:rPr>
          <w:rFonts w:ascii="ＭＳ ゴシック" w:eastAsia="ＭＳ ゴシック" w:hAnsi="ＭＳ ゴシック" w:hint="eastAsia"/>
          <w:color w:val="auto"/>
          <w:sz w:val="21"/>
          <w:szCs w:val="21"/>
        </w:rPr>
        <w:t>28</w:t>
      </w:r>
      <w:r w:rsidRPr="00CA0D71">
        <w:rPr>
          <w:rFonts w:ascii="ＭＳ ゴシック" w:eastAsia="ＭＳ ゴシック" w:hAnsi="ＭＳ ゴシック"/>
          <w:color w:val="auto"/>
          <w:sz w:val="21"/>
          <w:szCs w:val="21"/>
        </w:rPr>
        <w:t>年３月</w:t>
      </w:r>
      <w:r w:rsidRPr="00CA0D71">
        <w:rPr>
          <w:rFonts w:ascii="ＭＳ ゴシック" w:eastAsia="ＭＳ ゴシック" w:hAnsi="ＭＳ ゴシック" w:hint="eastAsia"/>
          <w:color w:val="auto"/>
          <w:sz w:val="21"/>
          <w:szCs w:val="21"/>
        </w:rPr>
        <w:t>31</w:t>
      </w:r>
      <w:r w:rsidRPr="00CA0D71">
        <w:rPr>
          <w:rFonts w:ascii="ＭＳ ゴシック" w:eastAsia="ＭＳ ゴシック" w:hAnsi="ＭＳ ゴシック"/>
          <w:color w:val="auto"/>
          <w:sz w:val="21"/>
          <w:szCs w:val="21"/>
        </w:rPr>
        <w:t>日</w:t>
      </w:r>
    </w:p>
    <w:p w:rsidR="000D1B45" w:rsidRDefault="000D1B45" w:rsidP="00117792">
      <w:pPr>
        <w:pStyle w:val="Default"/>
        <w:spacing w:line="310" w:lineRule="exact"/>
        <w:rPr>
          <w:rFonts w:ascii="ＭＳ ゴシック" w:eastAsia="ＭＳ ゴシック" w:hAnsi="ＭＳ ゴシック"/>
          <w:b/>
          <w:color w:val="000000" w:themeColor="text1"/>
          <w:sz w:val="21"/>
          <w:szCs w:val="21"/>
        </w:rPr>
      </w:pPr>
    </w:p>
    <w:p w:rsidR="000D1B45" w:rsidRPr="00CD7CD8" w:rsidRDefault="000D1B45" w:rsidP="00117792">
      <w:pPr>
        <w:pStyle w:val="Default"/>
        <w:spacing w:line="310" w:lineRule="exact"/>
        <w:rPr>
          <w:rFonts w:asciiTheme="minorEastAsia" w:hAnsiTheme="minorEastAsia"/>
          <w:color w:val="000000" w:themeColor="text1"/>
          <w:sz w:val="21"/>
          <w:szCs w:val="21"/>
        </w:rPr>
      </w:pPr>
      <w:r w:rsidRPr="00CD7CD8">
        <w:rPr>
          <w:rFonts w:ascii="ＭＳ ゴシック" w:eastAsia="ＭＳ ゴシック" w:hAnsi="ＭＳ ゴシック" w:hint="eastAsia"/>
          <w:b/>
          <w:color w:val="000000" w:themeColor="text1"/>
          <w:sz w:val="21"/>
          <w:szCs w:val="21"/>
        </w:rPr>
        <w:t xml:space="preserve">　</w:t>
      </w:r>
      <w:r w:rsidRPr="00CD7CD8">
        <w:rPr>
          <w:rFonts w:asciiTheme="minorEastAsia" w:hAnsiTheme="minorEastAsia" w:hint="eastAsia"/>
          <w:color w:val="000000" w:themeColor="text1"/>
          <w:sz w:val="21"/>
          <w:szCs w:val="21"/>
        </w:rPr>
        <w:t>木材は持続生産が可能な自然資源であり、木材の利用を促進することは森林の適正な整備及び保全につながることはもとより、二酸化炭素の排出抑制及び建築物等における炭素の蓄積の増大を通じた地球温暖化防止や資源循環型社会の形成にも貢献する。さらに、</w:t>
      </w:r>
      <w:r w:rsidRPr="00CD7CD8">
        <w:rPr>
          <w:color w:val="000000" w:themeColor="text1"/>
          <w:sz w:val="21"/>
          <w:szCs w:val="21"/>
        </w:rPr>
        <w:t>市民</w:t>
      </w:r>
      <w:r w:rsidRPr="00CD7CD8">
        <w:rPr>
          <w:rFonts w:hint="eastAsia"/>
          <w:color w:val="000000" w:themeColor="text1"/>
          <w:sz w:val="21"/>
          <w:szCs w:val="21"/>
        </w:rPr>
        <w:t>への</w:t>
      </w:r>
      <w:r w:rsidRPr="00CD7CD8">
        <w:rPr>
          <w:color w:val="000000" w:themeColor="text1"/>
          <w:sz w:val="21"/>
          <w:szCs w:val="21"/>
        </w:rPr>
        <w:t>やすらぎとぬくもりのある健康的で快適な空間</w:t>
      </w:r>
      <w:r w:rsidRPr="00CD7CD8">
        <w:rPr>
          <w:rFonts w:hint="eastAsia"/>
          <w:color w:val="000000" w:themeColor="text1"/>
          <w:sz w:val="21"/>
          <w:szCs w:val="21"/>
        </w:rPr>
        <w:t>の提供及びヒートアイランド現象の抑制に有用</w:t>
      </w:r>
      <w:r w:rsidRPr="00CD7CD8">
        <w:rPr>
          <w:rFonts w:asciiTheme="minorEastAsia" w:hAnsiTheme="minorEastAsia" w:hint="eastAsia"/>
          <w:color w:val="000000" w:themeColor="text1"/>
          <w:sz w:val="21"/>
          <w:szCs w:val="21"/>
        </w:rPr>
        <w:t>であることから、国内で生産された木材その他の木材の利用の促進を図るため、この方針を策定する。</w:t>
      </w:r>
    </w:p>
    <w:p w:rsidR="000D1B45" w:rsidRPr="00CD7CD8" w:rsidRDefault="000D1B45" w:rsidP="00117792">
      <w:pPr>
        <w:pStyle w:val="Default"/>
        <w:spacing w:line="310" w:lineRule="exact"/>
        <w:rPr>
          <w:rFonts w:asciiTheme="minorEastAsia" w:hAnsiTheme="minorEastAsia"/>
          <w:color w:val="000000" w:themeColor="text1"/>
          <w:sz w:val="21"/>
          <w:szCs w:val="21"/>
        </w:rPr>
      </w:pPr>
    </w:p>
    <w:p w:rsidR="000D1B45" w:rsidRPr="00CD7CD8" w:rsidRDefault="000D1B45" w:rsidP="00117792">
      <w:pPr>
        <w:pStyle w:val="Default"/>
        <w:spacing w:line="310" w:lineRule="exact"/>
        <w:rPr>
          <w:rFonts w:ascii="ＭＳ ゴシック" w:eastAsia="ＭＳ ゴシック" w:hAnsi="ＭＳ ゴシック"/>
          <w:b/>
          <w:color w:val="000000" w:themeColor="text1"/>
          <w:sz w:val="21"/>
          <w:szCs w:val="21"/>
        </w:rPr>
      </w:pPr>
      <w:r w:rsidRPr="00CD7CD8">
        <w:rPr>
          <w:rFonts w:ascii="ＭＳ ゴシック" w:eastAsia="ＭＳ ゴシック" w:hAnsi="ＭＳ ゴシック"/>
          <w:b/>
          <w:color w:val="000000" w:themeColor="text1"/>
          <w:sz w:val="21"/>
          <w:szCs w:val="21"/>
        </w:rPr>
        <w:t>（</w:t>
      </w:r>
      <w:r w:rsidRPr="00CD7CD8">
        <w:rPr>
          <w:rFonts w:ascii="ＭＳ ゴシック" w:eastAsia="ＭＳ ゴシック" w:hAnsi="ＭＳ ゴシック" w:hint="eastAsia"/>
          <w:b/>
          <w:color w:val="000000" w:themeColor="text1"/>
          <w:sz w:val="21"/>
          <w:szCs w:val="21"/>
        </w:rPr>
        <w:t>趣旨</w:t>
      </w:r>
      <w:r w:rsidRPr="00CD7CD8">
        <w:rPr>
          <w:rFonts w:ascii="ＭＳ ゴシック" w:eastAsia="ＭＳ ゴシック" w:hAnsi="ＭＳ ゴシック"/>
          <w:b/>
          <w:color w:val="000000" w:themeColor="text1"/>
          <w:sz w:val="21"/>
          <w:szCs w:val="21"/>
        </w:rPr>
        <w:t>）</w:t>
      </w:r>
    </w:p>
    <w:p w:rsidR="000D1B45" w:rsidRPr="00CD7CD8" w:rsidRDefault="000D1B45" w:rsidP="00117792">
      <w:pPr>
        <w:pStyle w:val="Default"/>
        <w:spacing w:line="310" w:lineRule="exact"/>
        <w:ind w:left="210" w:hangingChars="100" w:hanging="210"/>
        <w:rPr>
          <w:rFonts w:asciiTheme="minorEastAsia" w:hAnsiTheme="minorEastAsia"/>
          <w:color w:val="000000" w:themeColor="text1"/>
          <w:sz w:val="21"/>
          <w:szCs w:val="21"/>
        </w:rPr>
      </w:pPr>
      <w:r w:rsidRPr="00CD7CD8">
        <w:rPr>
          <w:color w:val="000000" w:themeColor="text1"/>
          <w:sz w:val="21"/>
          <w:szCs w:val="21"/>
        </w:rPr>
        <w:t>第１</w:t>
      </w:r>
      <w:r w:rsidRPr="00CD7CD8">
        <w:rPr>
          <w:rFonts w:hint="eastAsia"/>
          <w:color w:val="000000" w:themeColor="text1"/>
          <w:sz w:val="21"/>
          <w:szCs w:val="21"/>
        </w:rPr>
        <w:t xml:space="preserve">　</w:t>
      </w:r>
      <w:r w:rsidRPr="00CD7CD8">
        <w:rPr>
          <w:rFonts w:asciiTheme="minorEastAsia" w:hAnsiTheme="minorEastAsia"/>
          <w:color w:val="000000" w:themeColor="text1"/>
          <w:sz w:val="21"/>
          <w:szCs w:val="21"/>
        </w:rPr>
        <w:t>この方針は、</w:t>
      </w:r>
      <w:r w:rsidRPr="00CD7CD8">
        <w:rPr>
          <w:rFonts w:asciiTheme="minorEastAsia" w:hAnsiTheme="minorEastAsia" w:hint="eastAsia"/>
          <w:color w:val="000000" w:themeColor="text1"/>
          <w:sz w:val="21"/>
          <w:szCs w:val="21"/>
        </w:rPr>
        <w:t>「</w:t>
      </w:r>
      <w:r w:rsidRPr="00CD7CD8">
        <w:rPr>
          <w:rFonts w:asciiTheme="minorEastAsia" w:hAnsiTheme="minorEastAsia"/>
          <w:color w:val="000000" w:themeColor="text1"/>
          <w:sz w:val="21"/>
          <w:szCs w:val="21"/>
        </w:rPr>
        <w:t>公共建築物等における木材の利用の促進に関する法律</w:t>
      </w:r>
      <w:r w:rsidRPr="00CD7CD8">
        <w:rPr>
          <w:rFonts w:asciiTheme="minorEastAsia" w:hAnsiTheme="minorEastAsia" w:hint="eastAsia"/>
          <w:color w:val="000000" w:themeColor="text1"/>
          <w:sz w:val="21"/>
          <w:szCs w:val="21"/>
        </w:rPr>
        <w:t>」</w:t>
      </w:r>
      <w:r w:rsidRPr="00CD7CD8">
        <w:rPr>
          <w:rFonts w:asciiTheme="minorEastAsia" w:hAnsiTheme="minorEastAsia"/>
          <w:color w:val="000000" w:themeColor="text1"/>
          <w:sz w:val="21"/>
          <w:szCs w:val="21"/>
        </w:rPr>
        <w:t>（平成</w:t>
      </w:r>
      <w:r w:rsidRPr="00CD7CD8">
        <w:rPr>
          <w:rFonts w:asciiTheme="minorEastAsia" w:hAnsiTheme="minorEastAsia" w:hint="eastAsia"/>
          <w:color w:val="000000" w:themeColor="text1"/>
          <w:sz w:val="21"/>
          <w:szCs w:val="21"/>
        </w:rPr>
        <w:t>22</w:t>
      </w:r>
      <w:r w:rsidRPr="00CD7CD8">
        <w:rPr>
          <w:rFonts w:asciiTheme="minorEastAsia" w:hAnsiTheme="minorEastAsia"/>
          <w:color w:val="000000" w:themeColor="text1"/>
          <w:sz w:val="21"/>
          <w:szCs w:val="21"/>
        </w:rPr>
        <w:t>年法律第</w:t>
      </w:r>
      <w:r w:rsidRPr="00CD7CD8">
        <w:rPr>
          <w:rFonts w:asciiTheme="minorEastAsia" w:hAnsiTheme="minorEastAsia" w:hint="eastAsia"/>
          <w:color w:val="000000" w:themeColor="text1"/>
          <w:sz w:val="21"/>
          <w:szCs w:val="21"/>
        </w:rPr>
        <w:t>36</w:t>
      </w:r>
      <w:r w:rsidRPr="00CD7CD8">
        <w:rPr>
          <w:rFonts w:asciiTheme="minorEastAsia" w:hAnsiTheme="minorEastAsia"/>
          <w:color w:val="000000" w:themeColor="text1"/>
          <w:sz w:val="21"/>
          <w:szCs w:val="21"/>
        </w:rPr>
        <w:t>号。以下「</w:t>
      </w:r>
      <w:r w:rsidRPr="00CD7CD8">
        <w:rPr>
          <w:rFonts w:asciiTheme="minorEastAsia" w:hAnsiTheme="minorEastAsia" w:hint="eastAsia"/>
          <w:color w:val="000000" w:themeColor="text1"/>
          <w:sz w:val="21"/>
          <w:szCs w:val="21"/>
        </w:rPr>
        <w:t>促進</w:t>
      </w:r>
      <w:r w:rsidRPr="00CD7CD8">
        <w:rPr>
          <w:rFonts w:asciiTheme="minorEastAsia" w:hAnsiTheme="minorEastAsia"/>
          <w:color w:val="000000" w:themeColor="text1"/>
          <w:sz w:val="21"/>
          <w:szCs w:val="21"/>
        </w:rPr>
        <w:t>法」という。）第９条第１項の規定に基づき、</w:t>
      </w:r>
      <w:r w:rsidRPr="00CD7CD8">
        <w:rPr>
          <w:rFonts w:asciiTheme="minorEastAsia" w:hAnsiTheme="minorEastAsia" w:hint="eastAsia"/>
          <w:color w:val="000000" w:themeColor="text1"/>
          <w:sz w:val="21"/>
          <w:szCs w:val="21"/>
        </w:rPr>
        <w:t>大阪府</w:t>
      </w:r>
      <w:r w:rsidRPr="00CD7CD8">
        <w:rPr>
          <w:rFonts w:asciiTheme="minorEastAsia" w:hAnsiTheme="minorEastAsia"/>
          <w:color w:val="000000" w:themeColor="text1"/>
          <w:sz w:val="21"/>
          <w:szCs w:val="21"/>
        </w:rPr>
        <w:t>が定めた</w:t>
      </w:r>
      <w:r w:rsidRPr="00CD7CD8">
        <w:rPr>
          <w:rFonts w:asciiTheme="minorEastAsia" w:hAnsiTheme="minorEastAsia" w:hint="eastAsia"/>
          <w:color w:val="000000" w:themeColor="text1"/>
          <w:sz w:val="21"/>
          <w:szCs w:val="21"/>
        </w:rPr>
        <w:t>「大阪府木材利用基本方針」</w:t>
      </w:r>
      <w:r w:rsidRPr="00CD7CD8">
        <w:rPr>
          <w:rFonts w:asciiTheme="minorEastAsia" w:hAnsiTheme="minorEastAsia"/>
          <w:color w:val="000000" w:themeColor="text1"/>
          <w:sz w:val="21"/>
          <w:szCs w:val="21"/>
        </w:rPr>
        <w:t>（平成</w:t>
      </w:r>
      <w:r w:rsidRPr="00CD7CD8">
        <w:rPr>
          <w:rFonts w:asciiTheme="minorEastAsia" w:hAnsiTheme="minorEastAsia" w:hint="eastAsia"/>
          <w:color w:val="000000" w:themeColor="text1"/>
          <w:sz w:val="21"/>
          <w:szCs w:val="21"/>
        </w:rPr>
        <w:t>23</w:t>
      </w:r>
      <w:r w:rsidRPr="00CD7CD8">
        <w:rPr>
          <w:rFonts w:asciiTheme="minorEastAsia" w:hAnsiTheme="minorEastAsia"/>
          <w:color w:val="000000" w:themeColor="text1"/>
          <w:sz w:val="21"/>
          <w:szCs w:val="21"/>
        </w:rPr>
        <w:t>年</w:t>
      </w:r>
      <w:r w:rsidRPr="00CD7CD8">
        <w:rPr>
          <w:rFonts w:asciiTheme="minorEastAsia" w:hAnsiTheme="minorEastAsia" w:hint="eastAsia"/>
          <w:color w:val="000000" w:themeColor="text1"/>
          <w:sz w:val="21"/>
          <w:szCs w:val="21"/>
        </w:rPr>
        <w:t>12</w:t>
      </w:r>
      <w:r w:rsidRPr="00CD7CD8">
        <w:rPr>
          <w:rFonts w:asciiTheme="minorEastAsia" w:hAnsiTheme="minorEastAsia"/>
          <w:color w:val="000000" w:themeColor="text1"/>
          <w:sz w:val="21"/>
          <w:szCs w:val="21"/>
        </w:rPr>
        <w:t>月</w:t>
      </w:r>
      <w:r w:rsidRPr="00CD7CD8">
        <w:rPr>
          <w:rFonts w:asciiTheme="minorEastAsia" w:hAnsiTheme="minorEastAsia" w:hint="eastAsia"/>
          <w:color w:val="000000" w:themeColor="text1"/>
          <w:sz w:val="21"/>
          <w:szCs w:val="21"/>
        </w:rPr>
        <w:t>策定</w:t>
      </w:r>
      <w:r w:rsidRPr="00CD7CD8">
        <w:rPr>
          <w:rFonts w:asciiTheme="minorEastAsia" w:hAnsiTheme="minorEastAsia"/>
          <w:color w:val="000000" w:themeColor="text1"/>
          <w:sz w:val="21"/>
          <w:szCs w:val="21"/>
        </w:rPr>
        <w:t>）に</w:t>
      </w:r>
      <w:r w:rsidRPr="00CD7CD8">
        <w:rPr>
          <w:rFonts w:asciiTheme="minorEastAsia" w:hAnsiTheme="minorEastAsia" w:hint="eastAsia"/>
          <w:color w:val="000000" w:themeColor="text1"/>
          <w:sz w:val="21"/>
          <w:szCs w:val="21"/>
        </w:rPr>
        <w:t>即</w:t>
      </w:r>
      <w:r w:rsidRPr="00CD7CD8">
        <w:rPr>
          <w:rFonts w:asciiTheme="minorEastAsia" w:hAnsiTheme="minorEastAsia"/>
          <w:color w:val="000000" w:themeColor="text1"/>
          <w:sz w:val="21"/>
          <w:szCs w:val="21"/>
        </w:rPr>
        <w:t>して、</w:t>
      </w:r>
      <w:r w:rsidRPr="00CD7CD8">
        <w:rPr>
          <w:rFonts w:asciiTheme="minorEastAsia" w:hAnsiTheme="minorEastAsia" w:hint="eastAsia"/>
          <w:color w:val="000000" w:themeColor="text1"/>
          <w:sz w:val="21"/>
          <w:szCs w:val="21"/>
        </w:rPr>
        <w:t>大阪市の公共建築物等における</w:t>
      </w:r>
      <w:r w:rsidRPr="00CD7CD8">
        <w:rPr>
          <w:rFonts w:asciiTheme="minorEastAsia" w:hAnsiTheme="minorEastAsia"/>
          <w:color w:val="000000" w:themeColor="text1"/>
          <w:sz w:val="21"/>
          <w:szCs w:val="21"/>
        </w:rPr>
        <w:t>必要な事項を定め</w:t>
      </w:r>
      <w:r w:rsidRPr="00CD7CD8">
        <w:rPr>
          <w:rFonts w:asciiTheme="minorEastAsia" w:hAnsiTheme="minorEastAsia" w:hint="eastAsia"/>
          <w:color w:val="000000" w:themeColor="text1"/>
          <w:sz w:val="21"/>
          <w:szCs w:val="21"/>
        </w:rPr>
        <w:t>る。</w:t>
      </w:r>
    </w:p>
    <w:p w:rsidR="000D1B45" w:rsidRPr="00CD7CD8" w:rsidRDefault="000D1B45" w:rsidP="00117792">
      <w:pPr>
        <w:pStyle w:val="Default"/>
        <w:spacing w:line="310" w:lineRule="exact"/>
        <w:rPr>
          <w:color w:val="000000" w:themeColor="text1"/>
          <w:sz w:val="21"/>
          <w:szCs w:val="21"/>
        </w:rPr>
      </w:pPr>
    </w:p>
    <w:p w:rsidR="000D1B45" w:rsidRPr="00CD7CD8" w:rsidRDefault="000D1B45" w:rsidP="00117792">
      <w:pPr>
        <w:pStyle w:val="Default"/>
        <w:spacing w:line="310" w:lineRule="exact"/>
        <w:rPr>
          <w:rFonts w:ascii="ＭＳ ゴシック" w:eastAsia="ＭＳ ゴシック" w:hAnsi="ＭＳ ゴシック"/>
          <w:b/>
          <w:color w:val="000000" w:themeColor="text1"/>
          <w:sz w:val="21"/>
          <w:szCs w:val="21"/>
        </w:rPr>
      </w:pPr>
      <w:r w:rsidRPr="00CD7CD8">
        <w:rPr>
          <w:rFonts w:ascii="ＭＳ ゴシック" w:eastAsia="ＭＳ ゴシック" w:hAnsi="ＭＳ ゴシック"/>
          <w:b/>
          <w:color w:val="000000" w:themeColor="text1"/>
          <w:sz w:val="21"/>
          <w:szCs w:val="21"/>
        </w:rPr>
        <w:t>（</w:t>
      </w:r>
      <w:r w:rsidRPr="00CD7CD8">
        <w:rPr>
          <w:rFonts w:ascii="ＭＳ ゴシック" w:eastAsia="ＭＳ ゴシック" w:hAnsi="ＭＳ ゴシック" w:hint="eastAsia"/>
          <w:b/>
          <w:color w:val="000000" w:themeColor="text1"/>
          <w:sz w:val="21"/>
          <w:szCs w:val="21"/>
        </w:rPr>
        <w:t>市内の公共建築物における</w:t>
      </w:r>
      <w:r w:rsidRPr="00CD7CD8">
        <w:rPr>
          <w:rFonts w:ascii="ＭＳ ゴシック" w:eastAsia="ＭＳ ゴシック" w:hAnsi="ＭＳ ゴシック"/>
          <w:b/>
          <w:color w:val="000000" w:themeColor="text1"/>
          <w:sz w:val="21"/>
          <w:szCs w:val="21"/>
        </w:rPr>
        <w:t>木材の利用の促進のための施策に関する基本的事項）</w:t>
      </w:r>
    </w:p>
    <w:p w:rsidR="000D1B45" w:rsidRPr="00CD7CD8" w:rsidRDefault="000D1B45" w:rsidP="00117792">
      <w:pPr>
        <w:pStyle w:val="Default"/>
        <w:spacing w:line="310" w:lineRule="exact"/>
        <w:ind w:left="210" w:hangingChars="100" w:hanging="210"/>
        <w:rPr>
          <w:color w:val="000000" w:themeColor="text1"/>
          <w:sz w:val="21"/>
          <w:szCs w:val="21"/>
        </w:rPr>
      </w:pPr>
      <w:r w:rsidRPr="00CD7CD8">
        <w:rPr>
          <w:color w:val="000000" w:themeColor="text1"/>
          <w:sz w:val="21"/>
          <w:szCs w:val="21"/>
        </w:rPr>
        <w:t>第</w:t>
      </w:r>
      <w:r w:rsidRPr="00CD7CD8">
        <w:rPr>
          <w:rFonts w:hint="eastAsia"/>
          <w:color w:val="000000" w:themeColor="text1"/>
          <w:sz w:val="21"/>
          <w:szCs w:val="21"/>
        </w:rPr>
        <w:t>２　木材の利用を促進すべき公共建築物は、</w:t>
      </w:r>
      <w:r w:rsidRPr="00CD7CD8">
        <w:rPr>
          <w:rFonts w:asciiTheme="minorEastAsia" w:hAnsiTheme="minorEastAsia" w:cs="MSMincho" w:hint="eastAsia"/>
          <w:color w:val="000000" w:themeColor="text1"/>
          <w:sz w:val="21"/>
          <w:szCs w:val="21"/>
        </w:rPr>
        <w:t>促進法第２条第１項各号に掲げる建築物で、</w:t>
      </w:r>
      <w:r w:rsidRPr="00CD7CD8">
        <w:rPr>
          <w:rFonts w:hint="eastAsia"/>
          <w:color w:val="000000" w:themeColor="text1"/>
          <w:sz w:val="21"/>
          <w:szCs w:val="21"/>
        </w:rPr>
        <w:t>次の各号に掲げるものとする。</w:t>
      </w:r>
    </w:p>
    <w:p w:rsidR="000D1B45" w:rsidRPr="00CD7CD8" w:rsidRDefault="000D1B45" w:rsidP="00117792">
      <w:pPr>
        <w:pStyle w:val="Default"/>
        <w:spacing w:line="310" w:lineRule="exact"/>
        <w:ind w:left="420" w:hangingChars="200" w:hanging="420"/>
        <w:rPr>
          <w:rFonts w:asciiTheme="minorEastAsia" w:hAnsiTheme="minorEastAsia"/>
          <w:color w:val="000000" w:themeColor="text1"/>
          <w:sz w:val="21"/>
          <w:szCs w:val="21"/>
        </w:rPr>
      </w:pPr>
      <w:r w:rsidRPr="00CD7CD8">
        <w:rPr>
          <w:rFonts w:asciiTheme="minorEastAsia" w:hAnsiTheme="minorEastAsia" w:hint="eastAsia"/>
          <w:color w:val="000000" w:themeColor="text1"/>
          <w:sz w:val="21"/>
          <w:szCs w:val="21"/>
        </w:rPr>
        <w:t>（１）市が整備する建築物で、広く市民一般の利用に供される施設のほか、市の事務・事業の用に供される庁舎等</w:t>
      </w:r>
    </w:p>
    <w:p w:rsidR="000D1B45" w:rsidRPr="00CD7CD8" w:rsidRDefault="000D1B45" w:rsidP="00117792">
      <w:pPr>
        <w:pStyle w:val="Default"/>
        <w:spacing w:line="310" w:lineRule="exact"/>
        <w:ind w:left="420" w:hangingChars="200" w:hanging="420"/>
        <w:rPr>
          <w:rFonts w:asciiTheme="minorEastAsia" w:hAnsiTheme="minorEastAsia"/>
          <w:color w:val="000000" w:themeColor="text1"/>
          <w:sz w:val="21"/>
          <w:szCs w:val="21"/>
        </w:rPr>
      </w:pPr>
      <w:r w:rsidRPr="00CD7CD8">
        <w:rPr>
          <w:rFonts w:asciiTheme="minorEastAsia" w:hAnsiTheme="minorEastAsia" w:hint="eastAsia"/>
          <w:color w:val="000000" w:themeColor="text1"/>
          <w:sz w:val="21"/>
          <w:szCs w:val="21"/>
        </w:rPr>
        <w:t>（２）国又は地方公共団体以外の者が整備する（１）に準ずる建築物で、</w:t>
      </w:r>
      <w:r w:rsidR="00E76205" w:rsidRPr="00CD7CD8">
        <w:rPr>
          <w:rFonts w:asciiTheme="minorEastAsia" w:hAnsiTheme="minorEastAsia" w:hint="eastAsia"/>
          <w:color w:val="000000" w:themeColor="text1"/>
          <w:sz w:val="21"/>
          <w:szCs w:val="21"/>
        </w:rPr>
        <w:t>同</w:t>
      </w:r>
      <w:r w:rsidRPr="00CD7CD8">
        <w:rPr>
          <w:rFonts w:asciiTheme="minorEastAsia" w:hAnsiTheme="minorEastAsia" w:hint="eastAsia"/>
          <w:color w:val="000000" w:themeColor="text1"/>
          <w:sz w:val="21"/>
          <w:szCs w:val="21"/>
        </w:rPr>
        <w:t>促進法施行令（平成22年政令第203号）第１条各号に掲げる建築物</w:t>
      </w:r>
    </w:p>
    <w:p w:rsidR="000D1B45" w:rsidRPr="00CD7CD8" w:rsidRDefault="000D1B45" w:rsidP="00117792">
      <w:pPr>
        <w:pStyle w:val="Default"/>
        <w:spacing w:line="310" w:lineRule="exact"/>
        <w:rPr>
          <w:color w:val="000000" w:themeColor="text1"/>
          <w:sz w:val="21"/>
          <w:szCs w:val="21"/>
        </w:rPr>
      </w:pPr>
    </w:p>
    <w:p w:rsidR="000D1B45" w:rsidRPr="00CD7CD8" w:rsidRDefault="000D1B45" w:rsidP="00117792">
      <w:pPr>
        <w:pStyle w:val="Default"/>
        <w:spacing w:line="310" w:lineRule="exact"/>
        <w:rPr>
          <w:rFonts w:ascii="ＭＳ ゴシック" w:eastAsia="ＭＳ ゴシック" w:hAnsi="ＭＳ ゴシック"/>
          <w:b/>
          <w:color w:val="000000" w:themeColor="text1"/>
          <w:sz w:val="21"/>
          <w:szCs w:val="21"/>
        </w:rPr>
      </w:pPr>
      <w:r w:rsidRPr="00CD7CD8">
        <w:rPr>
          <w:rFonts w:ascii="ＭＳ ゴシック" w:eastAsia="ＭＳ ゴシック" w:hAnsi="ＭＳ ゴシック"/>
          <w:b/>
          <w:color w:val="000000" w:themeColor="text1"/>
          <w:sz w:val="21"/>
          <w:szCs w:val="21"/>
        </w:rPr>
        <w:t>（</w:t>
      </w:r>
      <w:r w:rsidRPr="00CD7CD8">
        <w:rPr>
          <w:rFonts w:ascii="ＭＳ ゴシック" w:eastAsia="ＭＳ ゴシック" w:hAnsi="ＭＳ ゴシック" w:hint="eastAsia"/>
          <w:b/>
          <w:color w:val="000000" w:themeColor="text1"/>
          <w:sz w:val="21"/>
          <w:szCs w:val="21"/>
        </w:rPr>
        <w:t>市が整備する公共建築物における木材の利用の目標</w:t>
      </w:r>
      <w:r w:rsidRPr="00CD7CD8">
        <w:rPr>
          <w:rFonts w:ascii="ＭＳ ゴシック" w:eastAsia="ＭＳ ゴシック" w:hAnsi="ＭＳ ゴシック"/>
          <w:b/>
          <w:color w:val="000000" w:themeColor="text1"/>
          <w:sz w:val="21"/>
          <w:szCs w:val="21"/>
        </w:rPr>
        <w:t>）</w:t>
      </w:r>
    </w:p>
    <w:p w:rsidR="000D1B45" w:rsidRPr="00CD7CD8" w:rsidRDefault="000D1B45" w:rsidP="00117792">
      <w:pPr>
        <w:pStyle w:val="Default"/>
        <w:spacing w:line="310" w:lineRule="exact"/>
        <w:ind w:left="210" w:hangingChars="100" w:hanging="210"/>
        <w:rPr>
          <w:color w:val="000000" w:themeColor="text1"/>
          <w:sz w:val="21"/>
          <w:szCs w:val="21"/>
        </w:rPr>
      </w:pPr>
      <w:r w:rsidRPr="00CD7CD8">
        <w:rPr>
          <w:color w:val="000000" w:themeColor="text1"/>
          <w:sz w:val="21"/>
          <w:szCs w:val="21"/>
        </w:rPr>
        <w:t>第</w:t>
      </w:r>
      <w:r w:rsidRPr="00CD7CD8">
        <w:rPr>
          <w:rFonts w:hint="eastAsia"/>
          <w:color w:val="000000" w:themeColor="text1"/>
          <w:sz w:val="21"/>
          <w:szCs w:val="21"/>
        </w:rPr>
        <w:t>３　市が整備する公共建築物においては、整備や模様替え並びに改修にあたり、建築基準法等の法令その他の設置基準等の範囲内で可能な限り木材の利用の取組</w:t>
      </w:r>
      <w:r w:rsidR="000B5CC6" w:rsidRPr="00CD7CD8">
        <w:rPr>
          <w:rFonts w:hint="eastAsia"/>
          <w:color w:val="000000" w:themeColor="text1"/>
          <w:sz w:val="21"/>
          <w:szCs w:val="21"/>
        </w:rPr>
        <w:t>の</w:t>
      </w:r>
      <w:r w:rsidRPr="00CD7CD8">
        <w:rPr>
          <w:rFonts w:hint="eastAsia"/>
          <w:color w:val="000000" w:themeColor="text1"/>
          <w:sz w:val="21"/>
          <w:szCs w:val="21"/>
        </w:rPr>
        <w:t>検討</w:t>
      </w:r>
      <w:r w:rsidR="000B5CC6" w:rsidRPr="00CD7CD8">
        <w:rPr>
          <w:rFonts w:hint="eastAsia"/>
          <w:color w:val="000000" w:themeColor="text1"/>
          <w:sz w:val="21"/>
          <w:szCs w:val="21"/>
        </w:rPr>
        <w:t>に努める</w:t>
      </w:r>
      <w:r w:rsidRPr="00CD7CD8">
        <w:rPr>
          <w:rFonts w:hint="eastAsia"/>
          <w:color w:val="000000" w:themeColor="text1"/>
          <w:sz w:val="21"/>
          <w:szCs w:val="21"/>
        </w:rPr>
        <w:t>。また、市民の目に触れる機会が多いものを中心に、木製備品の導入</w:t>
      </w:r>
      <w:r w:rsidR="004C1D98" w:rsidRPr="00CD7CD8">
        <w:rPr>
          <w:rFonts w:hint="eastAsia"/>
          <w:color w:val="000000" w:themeColor="text1"/>
          <w:sz w:val="21"/>
          <w:szCs w:val="21"/>
        </w:rPr>
        <w:t>の</w:t>
      </w:r>
      <w:r w:rsidRPr="00CD7CD8">
        <w:rPr>
          <w:rFonts w:hint="eastAsia"/>
          <w:color w:val="000000" w:themeColor="text1"/>
          <w:sz w:val="21"/>
          <w:szCs w:val="21"/>
        </w:rPr>
        <w:t>検討</w:t>
      </w:r>
      <w:r w:rsidR="004C1D98" w:rsidRPr="00CD7CD8">
        <w:rPr>
          <w:rFonts w:hint="eastAsia"/>
          <w:color w:val="000000" w:themeColor="text1"/>
          <w:sz w:val="21"/>
          <w:szCs w:val="21"/>
        </w:rPr>
        <w:t>に努めるものと</w:t>
      </w:r>
      <w:r w:rsidRPr="00CD7CD8">
        <w:rPr>
          <w:rFonts w:hint="eastAsia"/>
          <w:color w:val="000000" w:themeColor="text1"/>
          <w:sz w:val="21"/>
          <w:szCs w:val="21"/>
        </w:rPr>
        <w:t>する。</w:t>
      </w:r>
    </w:p>
    <w:p w:rsidR="000D1B45" w:rsidRPr="00CD7CD8" w:rsidRDefault="000D1B45" w:rsidP="00117792">
      <w:pPr>
        <w:pStyle w:val="Default"/>
        <w:spacing w:line="310" w:lineRule="exact"/>
        <w:ind w:left="420" w:hangingChars="200" w:hanging="420"/>
        <w:rPr>
          <w:color w:val="000000" w:themeColor="text1"/>
          <w:sz w:val="21"/>
          <w:szCs w:val="21"/>
        </w:rPr>
      </w:pPr>
    </w:p>
    <w:p w:rsidR="000D1B45" w:rsidRPr="00CD7CD8" w:rsidRDefault="000D1B45" w:rsidP="00117792">
      <w:pPr>
        <w:pStyle w:val="Default"/>
        <w:spacing w:line="310" w:lineRule="exact"/>
        <w:rPr>
          <w:rFonts w:ascii="ＭＳ ゴシック" w:eastAsia="ＭＳ ゴシック" w:hAnsi="ＭＳ ゴシック"/>
          <w:b/>
          <w:color w:val="000000" w:themeColor="text1"/>
          <w:sz w:val="21"/>
          <w:szCs w:val="21"/>
        </w:rPr>
      </w:pPr>
      <w:r w:rsidRPr="00CD7CD8">
        <w:rPr>
          <w:rFonts w:ascii="ＭＳ ゴシック" w:eastAsia="ＭＳ ゴシック" w:hAnsi="ＭＳ ゴシック" w:hint="eastAsia"/>
          <w:b/>
          <w:color w:val="000000" w:themeColor="text1"/>
          <w:sz w:val="21"/>
          <w:szCs w:val="21"/>
        </w:rPr>
        <w:t>（その他</w:t>
      </w:r>
      <w:r w:rsidRPr="00CD7CD8">
        <w:rPr>
          <w:rFonts w:asciiTheme="majorEastAsia" w:eastAsiaTheme="majorEastAsia" w:hAnsiTheme="majorEastAsia" w:hint="eastAsia"/>
          <w:b/>
          <w:color w:val="000000" w:themeColor="text1"/>
          <w:sz w:val="21"/>
          <w:szCs w:val="21"/>
        </w:rPr>
        <w:t>市</w:t>
      </w:r>
      <w:r w:rsidR="00882B05" w:rsidRPr="00CD7CD8">
        <w:rPr>
          <w:rFonts w:asciiTheme="majorEastAsia" w:eastAsiaTheme="majorEastAsia" w:hAnsiTheme="majorEastAsia" w:hint="eastAsia"/>
          <w:b/>
          <w:color w:val="000000" w:themeColor="text1"/>
          <w:sz w:val="21"/>
          <w:szCs w:val="21"/>
        </w:rPr>
        <w:t>内の</w:t>
      </w:r>
      <w:r w:rsidRPr="00CD7CD8">
        <w:rPr>
          <w:rFonts w:ascii="ＭＳ ゴシック" w:eastAsia="ＭＳ ゴシック" w:hAnsi="ＭＳ ゴシック" w:hint="eastAsia"/>
          <w:b/>
          <w:color w:val="000000" w:themeColor="text1"/>
          <w:sz w:val="21"/>
          <w:szCs w:val="21"/>
        </w:rPr>
        <w:t>公共建築物における木材の利用の促進に関し必要な事項）</w:t>
      </w:r>
    </w:p>
    <w:p w:rsidR="000D1B45" w:rsidRPr="00CD7CD8" w:rsidRDefault="000D1B45" w:rsidP="00117792">
      <w:pPr>
        <w:pStyle w:val="Default"/>
        <w:spacing w:line="310" w:lineRule="exact"/>
        <w:ind w:left="210" w:hangingChars="100" w:hanging="210"/>
        <w:rPr>
          <w:color w:val="000000" w:themeColor="text1"/>
          <w:sz w:val="21"/>
          <w:szCs w:val="21"/>
        </w:rPr>
      </w:pPr>
      <w:r w:rsidRPr="00CD7CD8">
        <w:rPr>
          <w:rFonts w:hint="eastAsia"/>
          <w:color w:val="000000" w:themeColor="text1"/>
          <w:sz w:val="21"/>
          <w:szCs w:val="21"/>
        </w:rPr>
        <w:t>第４ 市は、公共建築物の整備にあたり、設置目的や、建設コストのみならず維持管理及び解体・廃棄等のコストを含むライフサイクルコスト、施設等の利用者ニーズ、木材の利用による付加価値等を考慮するなどし、これらを総合的に判断し、木材の利用の取組</w:t>
      </w:r>
      <w:r w:rsidR="004C1D98" w:rsidRPr="00CD7CD8">
        <w:rPr>
          <w:rFonts w:hint="eastAsia"/>
          <w:color w:val="000000" w:themeColor="text1"/>
          <w:sz w:val="21"/>
          <w:szCs w:val="21"/>
        </w:rPr>
        <w:t>の</w:t>
      </w:r>
      <w:r w:rsidRPr="00CD7CD8">
        <w:rPr>
          <w:rFonts w:hint="eastAsia"/>
          <w:color w:val="000000" w:themeColor="text1"/>
          <w:sz w:val="21"/>
          <w:szCs w:val="21"/>
        </w:rPr>
        <w:t>検討</w:t>
      </w:r>
      <w:r w:rsidR="004C1D98" w:rsidRPr="00CD7CD8">
        <w:rPr>
          <w:rFonts w:hint="eastAsia"/>
          <w:color w:val="000000" w:themeColor="text1"/>
          <w:sz w:val="21"/>
          <w:szCs w:val="21"/>
        </w:rPr>
        <w:t>に努めるものと</w:t>
      </w:r>
      <w:r w:rsidRPr="00CD7CD8">
        <w:rPr>
          <w:rFonts w:hint="eastAsia"/>
          <w:color w:val="000000" w:themeColor="text1"/>
          <w:sz w:val="21"/>
          <w:szCs w:val="21"/>
        </w:rPr>
        <w:t>する。</w:t>
      </w:r>
    </w:p>
    <w:p w:rsidR="000D1B45" w:rsidRPr="00CD7CD8" w:rsidRDefault="000D1B45" w:rsidP="00117792">
      <w:pPr>
        <w:pStyle w:val="Default"/>
        <w:spacing w:line="310" w:lineRule="exact"/>
        <w:ind w:left="210" w:hangingChars="100" w:hanging="210"/>
        <w:rPr>
          <w:color w:val="000000" w:themeColor="text1"/>
          <w:sz w:val="21"/>
          <w:szCs w:val="21"/>
        </w:rPr>
      </w:pPr>
      <w:r w:rsidRPr="00CD7CD8">
        <w:rPr>
          <w:rFonts w:hint="eastAsia"/>
          <w:color w:val="000000" w:themeColor="text1"/>
          <w:sz w:val="21"/>
          <w:szCs w:val="21"/>
        </w:rPr>
        <w:t>２ 　市は、公共建築物への木材の利用を促進するため、</w:t>
      </w:r>
      <w:r w:rsidR="00BE2388" w:rsidRPr="00CD7CD8">
        <w:rPr>
          <w:rFonts w:hint="eastAsia"/>
          <w:color w:val="000000" w:themeColor="text1"/>
          <w:sz w:val="21"/>
          <w:szCs w:val="21"/>
        </w:rPr>
        <w:t>大阪</w:t>
      </w:r>
      <w:r w:rsidRPr="00CD7CD8">
        <w:rPr>
          <w:rFonts w:hint="eastAsia"/>
          <w:color w:val="000000" w:themeColor="text1"/>
          <w:sz w:val="21"/>
          <w:szCs w:val="21"/>
        </w:rPr>
        <w:t>府と連携し、木材関連情報等の収集に努めるものとする。</w:t>
      </w:r>
    </w:p>
    <w:p w:rsidR="000D1B45" w:rsidRPr="00CD7CD8" w:rsidRDefault="000D1B45" w:rsidP="00117792">
      <w:pPr>
        <w:pStyle w:val="Default"/>
        <w:spacing w:line="310" w:lineRule="exact"/>
        <w:rPr>
          <w:color w:val="000000" w:themeColor="text1"/>
          <w:sz w:val="21"/>
          <w:szCs w:val="21"/>
        </w:rPr>
      </w:pPr>
      <w:r w:rsidRPr="00CD7CD8">
        <w:rPr>
          <w:rFonts w:hint="eastAsia"/>
          <w:color w:val="000000" w:themeColor="text1"/>
          <w:sz w:val="21"/>
          <w:szCs w:val="21"/>
        </w:rPr>
        <w:t>３ 　市が公共建築物に導入する備品、消耗品等は大阪市グリーン調達方針に基づき、木材</w:t>
      </w:r>
    </w:p>
    <w:p w:rsidR="000D1B45" w:rsidRPr="00CD7CD8" w:rsidRDefault="000D1B45" w:rsidP="00117792">
      <w:pPr>
        <w:pStyle w:val="Default"/>
        <w:spacing w:line="310" w:lineRule="exact"/>
        <w:ind w:firstLineChars="100" w:firstLine="210"/>
        <w:rPr>
          <w:color w:val="000000" w:themeColor="text1"/>
          <w:sz w:val="21"/>
          <w:szCs w:val="21"/>
        </w:rPr>
      </w:pPr>
      <w:r w:rsidRPr="00CD7CD8">
        <w:rPr>
          <w:rFonts w:hint="eastAsia"/>
          <w:color w:val="000000" w:themeColor="text1"/>
          <w:sz w:val="21"/>
          <w:szCs w:val="21"/>
        </w:rPr>
        <w:t>製品の導入に努めることとする。</w:t>
      </w:r>
    </w:p>
    <w:p w:rsidR="000D1B45" w:rsidRPr="00CD7CD8" w:rsidRDefault="000D1B45" w:rsidP="00117792">
      <w:pPr>
        <w:pStyle w:val="Default"/>
        <w:spacing w:line="310" w:lineRule="exact"/>
        <w:rPr>
          <w:color w:val="000000" w:themeColor="text1"/>
          <w:sz w:val="21"/>
          <w:szCs w:val="21"/>
        </w:rPr>
      </w:pPr>
    </w:p>
    <w:p w:rsidR="000D1B45" w:rsidRPr="00CD7CD8" w:rsidRDefault="000D1B45" w:rsidP="00117792">
      <w:pPr>
        <w:pStyle w:val="Default"/>
        <w:spacing w:line="310" w:lineRule="exact"/>
        <w:rPr>
          <w:rFonts w:ascii="ＭＳ ゴシック" w:eastAsia="ＭＳ ゴシック" w:hAnsi="ＭＳ ゴシック"/>
          <w:b/>
          <w:color w:val="000000" w:themeColor="text1"/>
          <w:sz w:val="21"/>
          <w:szCs w:val="21"/>
        </w:rPr>
      </w:pPr>
      <w:r w:rsidRPr="00CD7CD8">
        <w:rPr>
          <w:rFonts w:ascii="ＭＳ ゴシック" w:eastAsia="ＭＳ ゴシック" w:hAnsi="ＭＳ ゴシック"/>
          <w:b/>
          <w:color w:val="000000" w:themeColor="text1"/>
          <w:sz w:val="21"/>
          <w:szCs w:val="21"/>
        </w:rPr>
        <w:t>（</w:t>
      </w:r>
      <w:r w:rsidR="008F4111" w:rsidRPr="00CD7CD8">
        <w:rPr>
          <w:rFonts w:asciiTheme="majorEastAsia" w:eastAsiaTheme="majorEastAsia" w:hAnsiTheme="majorEastAsia" w:hint="eastAsia"/>
          <w:b/>
          <w:color w:val="000000" w:themeColor="text1"/>
          <w:sz w:val="21"/>
          <w:szCs w:val="21"/>
        </w:rPr>
        <w:t>公共</w:t>
      </w:r>
      <w:r w:rsidR="00C75FDB" w:rsidRPr="00CD7CD8">
        <w:rPr>
          <w:rFonts w:asciiTheme="majorEastAsia" w:eastAsiaTheme="majorEastAsia" w:hAnsiTheme="majorEastAsia" w:hint="eastAsia"/>
          <w:b/>
          <w:color w:val="000000" w:themeColor="text1"/>
          <w:sz w:val="21"/>
          <w:szCs w:val="21"/>
        </w:rPr>
        <w:t>建築物における木材利用以外の</w:t>
      </w:r>
      <w:r w:rsidR="00D670FC" w:rsidRPr="00CD7CD8">
        <w:rPr>
          <w:rFonts w:asciiTheme="majorEastAsia" w:eastAsiaTheme="majorEastAsia" w:hAnsiTheme="majorEastAsia" w:hint="eastAsia"/>
          <w:b/>
          <w:color w:val="000000" w:themeColor="text1"/>
          <w:sz w:val="21"/>
          <w:szCs w:val="21"/>
        </w:rPr>
        <w:t>市の</w:t>
      </w:r>
      <w:r w:rsidR="00D670FC" w:rsidRPr="00CD7CD8">
        <w:rPr>
          <w:rFonts w:ascii="ＭＳ ゴシック" w:eastAsia="ＭＳ ゴシック" w:hAnsi="ＭＳ ゴシック" w:hint="eastAsia"/>
          <w:b/>
          <w:color w:val="000000" w:themeColor="text1"/>
          <w:sz w:val="21"/>
          <w:szCs w:val="21"/>
        </w:rPr>
        <w:t>木材</w:t>
      </w:r>
      <w:r w:rsidRPr="00CD7CD8">
        <w:rPr>
          <w:rFonts w:ascii="ＭＳ ゴシック" w:eastAsia="ＭＳ ゴシック" w:hAnsi="ＭＳ ゴシック" w:hint="eastAsia"/>
          <w:b/>
          <w:color w:val="000000" w:themeColor="text1"/>
          <w:sz w:val="21"/>
          <w:szCs w:val="21"/>
        </w:rPr>
        <w:t>利用の</w:t>
      </w:r>
      <w:r w:rsidR="00C75FDB" w:rsidRPr="00CD7CD8">
        <w:rPr>
          <w:rFonts w:ascii="ＭＳ ゴシック" w:eastAsia="ＭＳ ゴシック" w:hAnsi="ＭＳ ゴシック" w:hint="eastAsia"/>
          <w:b/>
          <w:color w:val="000000" w:themeColor="text1"/>
          <w:sz w:val="21"/>
          <w:szCs w:val="21"/>
        </w:rPr>
        <w:t>促進に関する事項</w:t>
      </w:r>
      <w:r w:rsidRPr="00CD7CD8">
        <w:rPr>
          <w:rFonts w:ascii="ＭＳ ゴシック" w:eastAsia="ＭＳ ゴシック" w:hAnsi="ＭＳ ゴシック"/>
          <w:b/>
          <w:color w:val="000000" w:themeColor="text1"/>
          <w:sz w:val="21"/>
          <w:szCs w:val="21"/>
        </w:rPr>
        <w:t>）</w:t>
      </w:r>
    </w:p>
    <w:p w:rsidR="000D1B45" w:rsidRPr="00CD7CD8" w:rsidRDefault="000D1B45" w:rsidP="00117792">
      <w:pPr>
        <w:pStyle w:val="Default"/>
        <w:spacing w:line="310" w:lineRule="exact"/>
        <w:ind w:left="210" w:hangingChars="100" w:hanging="210"/>
        <w:rPr>
          <w:color w:val="000000" w:themeColor="text1"/>
          <w:sz w:val="21"/>
          <w:szCs w:val="21"/>
        </w:rPr>
      </w:pPr>
      <w:r w:rsidRPr="00CD7CD8">
        <w:rPr>
          <w:color w:val="000000" w:themeColor="text1"/>
          <w:sz w:val="21"/>
          <w:szCs w:val="21"/>
        </w:rPr>
        <w:t>第</w:t>
      </w:r>
      <w:r w:rsidRPr="00CD7CD8">
        <w:rPr>
          <w:rFonts w:hint="eastAsia"/>
          <w:color w:val="000000" w:themeColor="text1"/>
          <w:sz w:val="21"/>
          <w:szCs w:val="21"/>
        </w:rPr>
        <w:t xml:space="preserve">５　</w:t>
      </w:r>
      <w:r w:rsidR="003A0939" w:rsidRPr="00CD7CD8">
        <w:rPr>
          <w:rFonts w:hint="eastAsia"/>
          <w:color w:val="000000" w:themeColor="text1"/>
          <w:sz w:val="21"/>
          <w:szCs w:val="21"/>
        </w:rPr>
        <w:t>市は、</w:t>
      </w:r>
      <w:r w:rsidR="00C75FDB" w:rsidRPr="00CD7CD8">
        <w:rPr>
          <w:rFonts w:asciiTheme="minorEastAsia" w:hAnsiTheme="minorEastAsia" w:hint="eastAsia"/>
          <w:color w:val="000000" w:themeColor="text1"/>
          <w:sz w:val="21"/>
          <w:szCs w:val="21"/>
        </w:rPr>
        <w:t>公共建築物</w:t>
      </w:r>
      <w:r w:rsidR="00946763" w:rsidRPr="00CD7CD8">
        <w:rPr>
          <w:rFonts w:asciiTheme="minorEastAsia" w:hAnsiTheme="minorEastAsia" w:hint="eastAsia"/>
          <w:color w:val="000000" w:themeColor="text1"/>
          <w:sz w:val="21"/>
          <w:szCs w:val="21"/>
        </w:rPr>
        <w:t>における木材</w:t>
      </w:r>
      <w:r w:rsidR="00906EE3" w:rsidRPr="00CD7CD8">
        <w:rPr>
          <w:rFonts w:asciiTheme="minorEastAsia" w:hAnsiTheme="minorEastAsia" w:hint="eastAsia"/>
          <w:color w:val="000000" w:themeColor="text1"/>
          <w:sz w:val="21"/>
          <w:szCs w:val="21"/>
        </w:rPr>
        <w:t>利用</w:t>
      </w:r>
      <w:r w:rsidR="00511CEA" w:rsidRPr="00CD7CD8">
        <w:rPr>
          <w:rFonts w:asciiTheme="minorEastAsia" w:hAnsiTheme="minorEastAsia" w:hint="eastAsia"/>
          <w:color w:val="000000" w:themeColor="text1"/>
          <w:sz w:val="21"/>
          <w:szCs w:val="21"/>
        </w:rPr>
        <w:t>以外の市</w:t>
      </w:r>
      <w:r w:rsidR="006411E0" w:rsidRPr="00CD7CD8">
        <w:rPr>
          <w:rFonts w:asciiTheme="minorEastAsia" w:hAnsiTheme="minorEastAsia" w:hint="eastAsia"/>
          <w:color w:val="000000" w:themeColor="text1"/>
          <w:sz w:val="21"/>
          <w:szCs w:val="21"/>
        </w:rPr>
        <w:t>の</w:t>
      </w:r>
      <w:r w:rsidR="00C75FDB" w:rsidRPr="00CD7CD8">
        <w:rPr>
          <w:rFonts w:asciiTheme="minorEastAsia" w:hAnsiTheme="minorEastAsia" w:hint="eastAsia"/>
          <w:color w:val="000000" w:themeColor="text1"/>
          <w:sz w:val="21"/>
          <w:szCs w:val="21"/>
        </w:rPr>
        <w:t>木材</w:t>
      </w:r>
      <w:r w:rsidR="00511CEA" w:rsidRPr="00CD7CD8">
        <w:rPr>
          <w:rFonts w:asciiTheme="minorEastAsia" w:hAnsiTheme="minorEastAsia" w:hint="eastAsia"/>
          <w:color w:val="000000" w:themeColor="text1"/>
          <w:sz w:val="21"/>
          <w:szCs w:val="21"/>
        </w:rPr>
        <w:t>利用</w:t>
      </w:r>
      <w:r w:rsidR="00906EE3" w:rsidRPr="00CD7CD8">
        <w:rPr>
          <w:rFonts w:asciiTheme="minorEastAsia" w:hAnsiTheme="minorEastAsia" w:hint="eastAsia"/>
          <w:color w:val="000000" w:themeColor="text1"/>
          <w:sz w:val="21"/>
          <w:szCs w:val="21"/>
        </w:rPr>
        <w:t>に</w:t>
      </w:r>
      <w:r w:rsidR="006411E0" w:rsidRPr="00CD7CD8">
        <w:rPr>
          <w:rFonts w:asciiTheme="minorEastAsia" w:hAnsiTheme="minorEastAsia" w:hint="eastAsia"/>
          <w:color w:val="000000" w:themeColor="text1"/>
          <w:sz w:val="21"/>
          <w:szCs w:val="21"/>
        </w:rPr>
        <w:t>ついて</w:t>
      </w:r>
      <w:r w:rsidRPr="00CD7CD8">
        <w:rPr>
          <w:rFonts w:hint="eastAsia"/>
          <w:color w:val="000000" w:themeColor="text1"/>
          <w:sz w:val="21"/>
          <w:szCs w:val="21"/>
        </w:rPr>
        <w:t>、第４第１項に示す、設置目的や各種コスト、利用者ニーズ、木材の利用</w:t>
      </w:r>
      <w:r w:rsidR="00995622" w:rsidRPr="00CD7CD8">
        <w:rPr>
          <w:rFonts w:hint="eastAsia"/>
          <w:color w:val="000000" w:themeColor="text1"/>
          <w:sz w:val="21"/>
          <w:szCs w:val="21"/>
        </w:rPr>
        <w:t>による付加価値等を考慮し、</w:t>
      </w:r>
      <w:r w:rsidR="00547638" w:rsidRPr="00CD7CD8">
        <w:rPr>
          <w:rFonts w:hint="eastAsia"/>
          <w:color w:val="000000" w:themeColor="text1"/>
          <w:sz w:val="21"/>
          <w:szCs w:val="21"/>
        </w:rPr>
        <w:t>取組の検討に努める</w:t>
      </w:r>
      <w:r w:rsidR="00EC58E3" w:rsidRPr="00CD7CD8">
        <w:rPr>
          <w:rFonts w:hint="eastAsia"/>
          <w:color w:val="000000" w:themeColor="text1"/>
          <w:sz w:val="21"/>
          <w:szCs w:val="21"/>
        </w:rPr>
        <w:t>ものとする</w:t>
      </w:r>
      <w:r w:rsidRPr="00CD7CD8">
        <w:rPr>
          <w:rFonts w:hint="eastAsia"/>
          <w:color w:val="000000" w:themeColor="text1"/>
          <w:sz w:val="21"/>
          <w:szCs w:val="21"/>
        </w:rPr>
        <w:t>。</w:t>
      </w:r>
    </w:p>
    <w:p w:rsidR="000D1B45" w:rsidRPr="00CD7CD8" w:rsidRDefault="000D1B45" w:rsidP="00117792">
      <w:pPr>
        <w:pStyle w:val="Default"/>
        <w:spacing w:line="310" w:lineRule="exact"/>
        <w:ind w:left="210" w:hangingChars="100" w:hanging="210"/>
        <w:rPr>
          <w:color w:val="000000" w:themeColor="text1"/>
          <w:sz w:val="21"/>
          <w:szCs w:val="21"/>
        </w:rPr>
      </w:pPr>
    </w:p>
    <w:p w:rsidR="000D1B45" w:rsidRPr="00CD7CD8" w:rsidRDefault="000D1B45" w:rsidP="00117792">
      <w:pPr>
        <w:pStyle w:val="Default"/>
        <w:spacing w:line="310" w:lineRule="exact"/>
        <w:rPr>
          <w:rFonts w:ascii="ＭＳ ゴシック" w:eastAsia="ＭＳ ゴシック" w:hAnsi="ＭＳ ゴシック"/>
          <w:b/>
          <w:color w:val="000000" w:themeColor="text1"/>
          <w:sz w:val="21"/>
          <w:szCs w:val="21"/>
        </w:rPr>
      </w:pPr>
      <w:r w:rsidRPr="00CD7CD8">
        <w:rPr>
          <w:rFonts w:ascii="ＭＳ ゴシック" w:eastAsia="ＭＳ ゴシック" w:hAnsi="ＭＳ ゴシック"/>
          <w:b/>
          <w:color w:val="000000" w:themeColor="text1"/>
          <w:sz w:val="21"/>
          <w:szCs w:val="21"/>
        </w:rPr>
        <w:t>（</w:t>
      </w:r>
      <w:r w:rsidR="006041CF" w:rsidRPr="00CD7CD8">
        <w:rPr>
          <w:rFonts w:ascii="ＭＳ ゴシック" w:eastAsia="ＭＳ ゴシック" w:hAnsi="ＭＳ ゴシック" w:hint="eastAsia"/>
          <w:b/>
          <w:color w:val="000000" w:themeColor="text1"/>
          <w:sz w:val="21"/>
          <w:szCs w:val="21"/>
        </w:rPr>
        <w:t>その他</w:t>
      </w:r>
      <w:r w:rsidR="00093CBE" w:rsidRPr="00CD7CD8">
        <w:rPr>
          <w:rFonts w:ascii="ＭＳ ゴシック" w:eastAsia="ＭＳ ゴシック" w:hAnsi="ＭＳ ゴシック" w:hint="eastAsia"/>
          <w:b/>
          <w:color w:val="000000" w:themeColor="text1"/>
          <w:sz w:val="21"/>
          <w:szCs w:val="21"/>
        </w:rPr>
        <w:t>の</w:t>
      </w:r>
      <w:r w:rsidR="006041CF" w:rsidRPr="00CD7CD8">
        <w:rPr>
          <w:rFonts w:ascii="ＭＳ ゴシック" w:eastAsia="ＭＳ ゴシック" w:hAnsi="ＭＳ ゴシック" w:hint="eastAsia"/>
          <w:b/>
          <w:color w:val="000000" w:themeColor="text1"/>
          <w:sz w:val="21"/>
          <w:szCs w:val="21"/>
        </w:rPr>
        <w:t>木材の利用の促進に関する施策</w:t>
      </w:r>
      <w:r w:rsidRPr="00CD7CD8">
        <w:rPr>
          <w:rFonts w:ascii="ＭＳ ゴシック" w:eastAsia="ＭＳ ゴシック" w:hAnsi="ＭＳ ゴシック"/>
          <w:b/>
          <w:color w:val="000000" w:themeColor="text1"/>
          <w:sz w:val="21"/>
          <w:szCs w:val="21"/>
        </w:rPr>
        <w:t>）</w:t>
      </w:r>
    </w:p>
    <w:p w:rsidR="00CD7CD8" w:rsidRPr="00CD7CD8" w:rsidRDefault="000D1B45" w:rsidP="00980286">
      <w:pPr>
        <w:pStyle w:val="Default"/>
        <w:spacing w:line="310" w:lineRule="exact"/>
        <w:ind w:left="210" w:hangingChars="100" w:hanging="210"/>
        <w:rPr>
          <w:color w:val="000000" w:themeColor="text1"/>
          <w:sz w:val="21"/>
          <w:szCs w:val="21"/>
        </w:rPr>
      </w:pPr>
      <w:r w:rsidRPr="00CD7CD8">
        <w:rPr>
          <w:rFonts w:hint="eastAsia"/>
          <w:color w:val="000000" w:themeColor="text1"/>
          <w:sz w:val="21"/>
          <w:szCs w:val="21"/>
        </w:rPr>
        <w:lastRenderedPageBreak/>
        <w:t xml:space="preserve">第６  </w:t>
      </w:r>
      <w:r w:rsidR="006041CF" w:rsidRPr="00CD7CD8">
        <w:rPr>
          <w:rFonts w:hint="eastAsia"/>
          <w:color w:val="000000" w:themeColor="text1"/>
          <w:sz w:val="21"/>
          <w:szCs w:val="21"/>
        </w:rPr>
        <w:t>市は、</w:t>
      </w:r>
      <w:r w:rsidR="00093CBE" w:rsidRPr="00CD7CD8">
        <w:rPr>
          <w:rFonts w:hint="eastAsia"/>
          <w:color w:val="000000" w:themeColor="text1"/>
          <w:sz w:val="21"/>
          <w:szCs w:val="21"/>
        </w:rPr>
        <w:t>市民</w:t>
      </w:r>
      <w:r w:rsidR="00565942">
        <w:rPr>
          <w:rFonts w:hint="eastAsia"/>
          <w:color w:val="000000" w:themeColor="text1"/>
          <w:sz w:val="21"/>
          <w:szCs w:val="21"/>
        </w:rPr>
        <w:t>および事業者等</w:t>
      </w:r>
      <w:r w:rsidR="00093CBE" w:rsidRPr="00CD7CD8">
        <w:rPr>
          <w:rFonts w:hint="eastAsia"/>
          <w:color w:val="000000" w:themeColor="text1"/>
          <w:sz w:val="21"/>
          <w:szCs w:val="21"/>
        </w:rPr>
        <w:t>への</w:t>
      </w:r>
      <w:r w:rsidR="006041CF" w:rsidRPr="00CD7CD8">
        <w:rPr>
          <w:rFonts w:hint="eastAsia"/>
          <w:color w:val="000000" w:themeColor="text1"/>
          <w:sz w:val="21"/>
          <w:szCs w:val="21"/>
        </w:rPr>
        <w:t>木材の利用の意義の普及啓発や情報提供及びその他</w:t>
      </w:r>
      <w:r w:rsidR="00B019AA" w:rsidRPr="00CD7CD8">
        <w:rPr>
          <w:rFonts w:hint="eastAsia"/>
          <w:color w:val="000000" w:themeColor="text1"/>
          <w:sz w:val="21"/>
          <w:szCs w:val="21"/>
        </w:rPr>
        <w:t>の</w:t>
      </w:r>
      <w:r w:rsidR="006041CF" w:rsidRPr="00CD7CD8">
        <w:rPr>
          <w:rFonts w:hint="eastAsia"/>
          <w:color w:val="000000" w:themeColor="text1"/>
          <w:sz w:val="21"/>
          <w:szCs w:val="21"/>
        </w:rPr>
        <w:t>木材の利用につながる取</w:t>
      </w:r>
      <w:r w:rsidR="00DB45E1" w:rsidRPr="00CD7CD8">
        <w:rPr>
          <w:rFonts w:hint="eastAsia"/>
          <w:color w:val="000000" w:themeColor="text1"/>
          <w:sz w:val="21"/>
          <w:szCs w:val="21"/>
        </w:rPr>
        <w:t>組</w:t>
      </w:r>
      <w:r w:rsidR="006041CF" w:rsidRPr="00CD7CD8">
        <w:rPr>
          <w:rFonts w:hint="eastAsia"/>
          <w:color w:val="000000" w:themeColor="text1"/>
          <w:sz w:val="21"/>
          <w:szCs w:val="21"/>
        </w:rPr>
        <w:t>に努めるものとする。</w:t>
      </w:r>
    </w:p>
    <w:sectPr w:rsidR="00CD7CD8" w:rsidRPr="00CD7CD8" w:rsidSect="00C67479">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F0" w:rsidRDefault="00F635F0" w:rsidP="00C33207">
      <w:r>
        <w:separator/>
      </w:r>
    </w:p>
  </w:endnote>
  <w:endnote w:type="continuationSeparator" w:id="0">
    <w:p w:rsidR="00F635F0" w:rsidRDefault="00F635F0" w:rsidP="00C3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77" w:rsidRDefault="00563C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77" w:rsidRDefault="00563C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77" w:rsidRDefault="00563C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F0" w:rsidRDefault="00F635F0" w:rsidP="00C33207">
      <w:r>
        <w:separator/>
      </w:r>
    </w:p>
  </w:footnote>
  <w:footnote w:type="continuationSeparator" w:id="0">
    <w:p w:rsidR="00F635F0" w:rsidRDefault="00F635F0" w:rsidP="00C3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77" w:rsidRDefault="00563C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77" w:rsidRDefault="00563C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77" w:rsidRDefault="00563C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5B12"/>
    <w:rsid w:val="00006730"/>
    <w:rsid w:val="00016DD7"/>
    <w:rsid w:val="00026301"/>
    <w:rsid w:val="000418C2"/>
    <w:rsid w:val="00090C3C"/>
    <w:rsid w:val="00093CBE"/>
    <w:rsid w:val="00095C8C"/>
    <w:rsid w:val="000A6FC8"/>
    <w:rsid w:val="000B3D9B"/>
    <w:rsid w:val="000B5CC6"/>
    <w:rsid w:val="000D083D"/>
    <w:rsid w:val="000D1B45"/>
    <w:rsid w:val="000E0FB6"/>
    <w:rsid w:val="000E225B"/>
    <w:rsid w:val="000E4232"/>
    <w:rsid w:val="000F1575"/>
    <w:rsid w:val="000F2D84"/>
    <w:rsid w:val="00116258"/>
    <w:rsid w:val="00117792"/>
    <w:rsid w:val="001227C6"/>
    <w:rsid w:val="00162149"/>
    <w:rsid w:val="001660BF"/>
    <w:rsid w:val="001745E5"/>
    <w:rsid w:val="0018756E"/>
    <w:rsid w:val="0019183E"/>
    <w:rsid w:val="001B3900"/>
    <w:rsid w:val="001B48F0"/>
    <w:rsid w:val="001C0F52"/>
    <w:rsid w:val="001C3835"/>
    <w:rsid w:val="001C55BD"/>
    <w:rsid w:val="001D7528"/>
    <w:rsid w:val="00204343"/>
    <w:rsid w:val="00204FB7"/>
    <w:rsid w:val="00217407"/>
    <w:rsid w:val="002214E7"/>
    <w:rsid w:val="00235AE7"/>
    <w:rsid w:val="00235C1F"/>
    <w:rsid w:val="002466BA"/>
    <w:rsid w:val="00266991"/>
    <w:rsid w:val="00267B90"/>
    <w:rsid w:val="0027294A"/>
    <w:rsid w:val="00273E06"/>
    <w:rsid w:val="002823B4"/>
    <w:rsid w:val="0028583E"/>
    <w:rsid w:val="002A292B"/>
    <w:rsid w:val="002B1CCA"/>
    <w:rsid w:val="002B67E3"/>
    <w:rsid w:val="002C0228"/>
    <w:rsid w:val="002C0C36"/>
    <w:rsid w:val="002C14C3"/>
    <w:rsid w:val="002C65B4"/>
    <w:rsid w:val="002D28B6"/>
    <w:rsid w:val="002F0747"/>
    <w:rsid w:val="0030084A"/>
    <w:rsid w:val="0030617E"/>
    <w:rsid w:val="00346970"/>
    <w:rsid w:val="00381B17"/>
    <w:rsid w:val="00382122"/>
    <w:rsid w:val="003951CA"/>
    <w:rsid w:val="003A0939"/>
    <w:rsid w:val="003A5146"/>
    <w:rsid w:val="003C2EC5"/>
    <w:rsid w:val="003E4785"/>
    <w:rsid w:val="003F5906"/>
    <w:rsid w:val="004123A8"/>
    <w:rsid w:val="00455CCF"/>
    <w:rsid w:val="004624E8"/>
    <w:rsid w:val="0046315A"/>
    <w:rsid w:val="00464619"/>
    <w:rsid w:val="004755A3"/>
    <w:rsid w:val="00475AF2"/>
    <w:rsid w:val="00480F7E"/>
    <w:rsid w:val="0049186D"/>
    <w:rsid w:val="00494A71"/>
    <w:rsid w:val="004B1300"/>
    <w:rsid w:val="004B2A3A"/>
    <w:rsid w:val="004C1D98"/>
    <w:rsid w:val="004C2A1C"/>
    <w:rsid w:val="004C2B2C"/>
    <w:rsid w:val="004D66A0"/>
    <w:rsid w:val="004D7D07"/>
    <w:rsid w:val="004F6425"/>
    <w:rsid w:val="00511638"/>
    <w:rsid w:val="00511CEA"/>
    <w:rsid w:val="00523807"/>
    <w:rsid w:val="00533DBB"/>
    <w:rsid w:val="00536892"/>
    <w:rsid w:val="00547638"/>
    <w:rsid w:val="00556CDD"/>
    <w:rsid w:val="00563C77"/>
    <w:rsid w:val="00565942"/>
    <w:rsid w:val="005C0606"/>
    <w:rsid w:val="005C09E8"/>
    <w:rsid w:val="005C5CC5"/>
    <w:rsid w:val="005D6FF0"/>
    <w:rsid w:val="005E5856"/>
    <w:rsid w:val="005E676D"/>
    <w:rsid w:val="006003B3"/>
    <w:rsid w:val="006041CF"/>
    <w:rsid w:val="0060533A"/>
    <w:rsid w:val="00606568"/>
    <w:rsid w:val="006129FE"/>
    <w:rsid w:val="00617ABB"/>
    <w:rsid w:val="006213CC"/>
    <w:rsid w:val="0062478F"/>
    <w:rsid w:val="0062581E"/>
    <w:rsid w:val="006411E0"/>
    <w:rsid w:val="00647569"/>
    <w:rsid w:val="006538C0"/>
    <w:rsid w:val="00663FC8"/>
    <w:rsid w:val="006676CA"/>
    <w:rsid w:val="0069093A"/>
    <w:rsid w:val="006D7ED3"/>
    <w:rsid w:val="006E5010"/>
    <w:rsid w:val="006E5A01"/>
    <w:rsid w:val="006E7B61"/>
    <w:rsid w:val="006F4DD6"/>
    <w:rsid w:val="007059DA"/>
    <w:rsid w:val="00711BC8"/>
    <w:rsid w:val="00721F44"/>
    <w:rsid w:val="00731398"/>
    <w:rsid w:val="0073392B"/>
    <w:rsid w:val="00736E98"/>
    <w:rsid w:val="00743C16"/>
    <w:rsid w:val="0074606E"/>
    <w:rsid w:val="00755CD3"/>
    <w:rsid w:val="00765F68"/>
    <w:rsid w:val="007677C8"/>
    <w:rsid w:val="00777DB1"/>
    <w:rsid w:val="00781FAA"/>
    <w:rsid w:val="00793C0F"/>
    <w:rsid w:val="007A034B"/>
    <w:rsid w:val="007A26E9"/>
    <w:rsid w:val="007C0566"/>
    <w:rsid w:val="007C08CC"/>
    <w:rsid w:val="007C0E9A"/>
    <w:rsid w:val="007C7EB2"/>
    <w:rsid w:val="007E15D8"/>
    <w:rsid w:val="008136F7"/>
    <w:rsid w:val="00831530"/>
    <w:rsid w:val="00831D39"/>
    <w:rsid w:val="0084083F"/>
    <w:rsid w:val="00843DC1"/>
    <w:rsid w:val="00854447"/>
    <w:rsid w:val="00882871"/>
    <w:rsid w:val="00882B05"/>
    <w:rsid w:val="00885A4D"/>
    <w:rsid w:val="00891CC5"/>
    <w:rsid w:val="008937D7"/>
    <w:rsid w:val="008A4BE9"/>
    <w:rsid w:val="008D6D27"/>
    <w:rsid w:val="008E1879"/>
    <w:rsid w:val="008E7E46"/>
    <w:rsid w:val="008F0803"/>
    <w:rsid w:val="008F4111"/>
    <w:rsid w:val="008F6E40"/>
    <w:rsid w:val="00906EE3"/>
    <w:rsid w:val="00932F82"/>
    <w:rsid w:val="00946763"/>
    <w:rsid w:val="00970FA2"/>
    <w:rsid w:val="00980286"/>
    <w:rsid w:val="00990948"/>
    <w:rsid w:val="00995622"/>
    <w:rsid w:val="009A4898"/>
    <w:rsid w:val="009C0DAC"/>
    <w:rsid w:val="009E1C6C"/>
    <w:rsid w:val="009F4529"/>
    <w:rsid w:val="00A0098D"/>
    <w:rsid w:val="00A04A12"/>
    <w:rsid w:val="00A06ECE"/>
    <w:rsid w:val="00A27585"/>
    <w:rsid w:val="00A309D7"/>
    <w:rsid w:val="00A44310"/>
    <w:rsid w:val="00A463AD"/>
    <w:rsid w:val="00A94F9B"/>
    <w:rsid w:val="00AA2C47"/>
    <w:rsid w:val="00AB50C7"/>
    <w:rsid w:val="00AC2AA5"/>
    <w:rsid w:val="00AC5E1D"/>
    <w:rsid w:val="00AF23B3"/>
    <w:rsid w:val="00B0034D"/>
    <w:rsid w:val="00B019AA"/>
    <w:rsid w:val="00B11A03"/>
    <w:rsid w:val="00B16342"/>
    <w:rsid w:val="00B17C27"/>
    <w:rsid w:val="00B31FFF"/>
    <w:rsid w:val="00B50D73"/>
    <w:rsid w:val="00B67A2E"/>
    <w:rsid w:val="00B72877"/>
    <w:rsid w:val="00BA5216"/>
    <w:rsid w:val="00BB59ED"/>
    <w:rsid w:val="00BE2388"/>
    <w:rsid w:val="00BE28D8"/>
    <w:rsid w:val="00BE7D16"/>
    <w:rsid w:val="00BF26A4"/>
    <w:rsid w:val="00BF2E21"/>
    <w:rsid w:val="00BF3A4B"/>
    <w:rsid w:val="00C2080A"/>
    <w:rsid w:val="00C248F7"/>
    <w:rsid w:val="00C33207"/>
    <w:rsid w:val="00C67479"/>
    <w:rsid w:val="00C71E66"/>
    <w:rsid w:val="00C7214C"/>
    <w:rsid w:val="00C74D69"/>
    <w:rsid w:val="00C75FDB"/>
    <w:rsid w:val="00C80C56"/>
    <w:rsid w:val="00CA0D71"/>
    <w:rsid w:val="00CB1AB3"/>
    <w:rsid w:val="00CC1CC2"/>
    <w:rsid w:val="00CD19E4"/>
    <w:rsid w:val="00CD7CD8"/>
    <w:rsid w:val="00CE0B52"/>
    <w:rsid w:val="00D26DDF"/>
    <w:rsid w:val="00D2730E"/>
    <w:rsid w:val="00D434B4"/>
    <w:rsid w:val="00D54DED"/>
    <w:rsid w:val="00D670FC"/>
    <w:rsid w:val="00D90A64"/>
    <w:rsid w:val="00DB21AB"/>
    <w:rsid w:val="00DB45E1"/>
    <w:rsid w:val="00DC09DE"/>
    <w:rsid w:val="00E1029E"/>
    <w:rsid w:val="00E351F5"/>
    <w:rsid w:val="00E3579B"/>
    <w:rsid w:val="00E55470"/>
    <w:rsid w:val="00E64D33"/>
    <w:rsid w:val="00E65FDD"/>
    <w:rsid w:val="00E71690"/>
    <w:rsid w:val="00E71A4A"/>
    <w:rsid w:val="00E7414D"/>
    <w:rsid w:val="00E74369"/>
    <w:rsid w:val="00E76205"/>
    <w:rsid w:val="00E8716A"/>
    <w:rsid w:val="00E93081"/>
    <w:rsid w:val="00EA2AF2"/>
    <w:rsid w:val="00EA2BDE"/>
    <w:rsid w:val="00EA539D"/>
    <w:rsid w:val="00EA707A"/>
    <w:rsid w:val="00EB2C03"/>
    <w:rsid w:val="00EC12F6"/>
    <w:rsid w:val="00EC58E3"/>
    <w:rsid w:val="00EC5952"/>
    <w:rsid w:val="00ED12DA"/>
    <w:rsid w:val="00ED4612"/>
    <w:rsid w:val="00F107E5"/>
    <w:rsid w:val="00F1573E"/>
    <w:rsid w:val="00F17E12"/>
    <w:rsid w:val="00F209C9"/>
    <w:rsid w:val="00F21BFD"/>
    <w:rsid w:val="00F50D02"/>
    <w:rsid w:val="00F55B12"/>
    <w:rsid w:val="00F55FA5"/>
    <w:rsid w:val="00F635F0"/>
    <w:rsid w:val="00F655FF"/>
    <w:rsid w:val="00F65799"/>
    <w:rsid w:val="00F72418"/>
    <w:rsid w:val="00FC12C3"/>
    <w:rsid w:val="00FC1DA1"/>
    <w:rsid w:val="00FD1B9E"/>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5B12"/>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33207"/>
    <w:pPr>
      <w:tabs>
        <w:tab w:val="center" w:pos="4252"/>
        <w:tab w:val="right" w:pos="8504"/>
      </w:tabs>
      <w:snapToGrid w:val="0"/>
    </w:pPr>
  </w:style>
  <w:style w:type="character" w:customStyle="1" w:styleId="a4">
    <w:name w:val="ヘッダー (文字)"/>
    <w:basedOn w:val="a0"/>
    <w:link w:val="a3"/>
    <w:uiPriority w:val="99"/>
    <w:rsid w:val="00C33207"/>
  </w:style>
  <w:style w:type="paragraph" w:styleId="a5">
    <w:name w:val="footer"/>
    <w:basedOn w:val="a"/>
    <w:link w:val="a6"/>
    <w:uiPriority w:val="99"/>
    <w:unhideWhenUsed/>
    <w:rsid w:val="00C33207"/>
    <w:pPr>
      <w:tabs>
        <w:tab w:val="center" w:pos="4252"/>
        <w:tab w:val="right" w:pos="8504"/>
      </w:tabs>
      <w:snapToGrid w:val="0"/>
    </w:pPr>
  </w:style>
  <w:style w:type="character" w:customStyle="1" w:styleId="a6">
    <w:name w:val="フッター (文字)"/>
    <w:basedOn w:val="a0"/>
    <w:link w:val="a5"/>
    <w:uiPriority w:val="99"/>
    <w:rsid w:val="00C33207"/>
  </w:style>
  <w:style w:type="paragraph" w:styleId="a7">
    <w:name w:val="Balloon Text"/>
    <w:basedOn w:val="a"/>
    <w:link w:val="a8"/>
    <w:uiPriority w:val="99"/>
    <w:semiHidden/>
    <w:unhideWhenUsed/>
    <w:rsid w:val="003008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084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E2388"/>
    <w:rPr>
      <w:sz w:val="18"/>
      <w:szCs w:val="18"/>
    </w:rPr>
  </w:style>
  <w:style w:type="paragraph" w:styleId="aa">
    <w:name w:val="annotation text"/>
    <w:basedOn w:val="a"/>
    <w:link w:val="ab"/>
    <w:uiPriority w:val="99"/>
    <w:semiHidden/>
    <w:unhideWhenUsed/>
    <w:rsid w:val="00BE2388"/>
    <w:pPr>
      <w:jc w:val="left"/>
    </w:pPr>
  </w:style>
  <w:style w:type="character" w:customStyle="1" w:styleId="ab">
    <w:name w:val="コメント文字列 (文字)"/>
    <w:basedOn w:val="a0"/>
    <w:link w:val="aa"/>
    <w:uiPriority w:val="99"/>
    <w:semiHidden/>
    <w:rsid w:val="00BE2388"/>
  </w:style>
  <w:style w:type="paragraph" w:styleId="ac">
    <w:name w:val="annotation subject"/>
    <w:basedOn w:val="aa"/>
    <w:next w:val="aa"/>
    <w:link w:val="ad"/>
    <w:uiPriority w:val="99"/>
    <w:semiHidden/>
    <w:unhideWhenUsed/>
    <w:rsid w:val="00BE2388"/>
    <w:rPr>
      <w:b/>
      <w:bCs/>
    </w:rPr>
  </w:style>
  <w:style w:type="character" w:customStyle="1" w:styleId="ad">
    <w:name w:val="コメント内容 (文字)"/>
    <w:basedOn w:val="ab"/>
    <w:link w:val="ac"/>
    <w:uiPriority w:val="99"/>
    <w:semiHidden/>
    <w:rsid w:val="00BE2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2020-03-02T06:23:00Z</dcterms:created>
  <dcterms:modified xsi:type="dcterms:W3CDTF">2020-03-02T06:25:00Z</dcterms:modified>
</cp:coreProperties>
</file>