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1C" w:rsidRPr="009F7D79" w:rsidRDefault="00C17E1C" w:rsidP="002F3798">
      <w:pPr>
        <w:jc w:val="center"/>
        <w:rPr>
          <w:rFonts w:ascii="Century" w:eastAsia="ＭＳ 明朝" w:hAnsi="Century"/>
          <w:szCs w:val="24"/>
        </w:rPr>
      </w:pPr>
      <w:bookmarkStart w:id="0" w:name="_GoBack"/>
      <w:bookmarkEnd w:id="0"/>
    </w:p>
    <w:p w:rsidR="00C17E1C" w:rsidRPr="009F7D79" w:rsidRDefault="00C17E1C" w:rsidP="002F3798">
      <w:pPr>
        <w:jc w:val="center"/>
        <w:rPr>
          <w:rFonts w:ascii="Century" w:eastAsia="ＭＳ 明朝" w:hAnsi="Century"/>
          <w:szCs w:val="24"/>
        </w:rPr>
      </w:pPr>
    </w:p>
    <w:p w:rsidR="002F3798" w:rsidRPr="009F7D79" w:rsidRDefault="002F3798" w:rsidP="002F3798">
      <w:pPr>
        <w:jc w:val="center"/>
        <w:rPr>
          <w:rFonts w:ascii="Century" w:eastAsia="ＭＳ 明朝" w:hAnsi="Century"/>
          <w:szCs w:val="24"/>
        </w:rPr>
      </w:pPr>
      <w:r w:rsidRPr="009F7D79">
        <w:rPr>
          <w:rFonts w:ascii="Century" w:eastAsia="ＭＳ 明朝" w:hAnsi="Century"/>
          <w:szCs w:val="24"/>
        </w:rPr>
        <w:t>２０２５年日本国際博覧会環境影響評価方法書に関する市長意見</w:t>
      </w:r>
    </w:p>
    <w:p w:rsidR="002F3798" w:rsidRPr="009F7D79" w:rsidRDefault="002F3798" w:rsidP="002F3798">
      <w:pPr>
        <w:ind w:firstLineChars="100" w:firstLine="210"/>
        <w:rPr>
          <w:rFonts w:ascii="Century" w:eastAsia="ＭＳ 明朝" w:hAnsi="Century"/>
          <w:szCs w:val="24"/>
        </w:rPr>
      </w:pPr>
    </w:p>
    <w:p w:rsidR="002F3798" w:rsidRPr="009F7D79" w:rsidRDefault="002F3798" w:rsidP="002F3798">
      <w:pPr>
        <w:ind w:firstLineChars="100" w:firstLine="210"/>
        <w:rPr>
          <w:rFonts w:ascii="Century" w:eastAsia="ＭＳ 明朝" w:hAnsi="Century"/>
          <w:szCs w:val="24"/>
        </w:rPr>
      </w:pPr>
      <w:r w:rsidRPr="009F7D79">
        <w:rPr>
          <w:rFonts w:ascii="Century" w:eastAsia="ＭＳ 明朝" w:hAnsi="Century"/>
          <w:szCs w:val="24"/>
        </w:rPr>
        <w:t>本事業に係る環境影響評価方法書について、本市環境影響評価専門委員会の検討結果報告書の内容を踏まえて検討し、事業者が考慮すべき事項を次のとおり取りまとめた。</w:t>
      </w:r>
    </w:p>
    <w:p w:rsidR="002F3798" w:rsidRPr="009F7D79" w:rsidRDefault="002F3798" w:rsidP="002F3798">
      <w:pPr>
        <w:ind w:firstLineChars="100" w:firstLine="210"/>
        <w:rPr>
          <w:rFonts w:ascii="Century" w:eastAsia="ＭＳ 明朝" w:hAnsi="Century"/>
          <w:szCs w:val="24"/>
        </w:rPr>
      </w:pPr>
      <w:r w:rsidRPr="009F7D79">
        <w:rPr>
          <w:rFonts w:ascii="Century" w:eastAsia="ＭＳ 明朝" w:hAnsi="Century"/>
          <w:szCs w:val="24"/>
        </w:rPr>
        <w:t>環境影響評価の実施にあたっては、次に掲げる事項並びに同報告書の趣旨に十分配慮して実施されたい。</w:t>
      </w:r>
    </w:p>
    <w:p w:rsidR="002F3798" w:rsidRPr="009F7D79" w:rsidRDefault="002F3798" w:rsidP="002F3798">
      <w:pPr>
        <w:ind w:firstLineChars="100" w:firstLine="210"/>
        <w:rPr>
          <w:rFonts w:ascii="Century" w:eastAsia="ＭＳ 明朝" w:hAnsi="Century"/>
          <w:szCs w:val="24"/>
        </w:rPr>
      </w:pPr>
    </w:p>
    <w:p w:rsidR="002F3798" w:rsidRPr="009F7D79" w:rsidRDefault="002F3798" w:rsidP="002F3798">
      <w:pPr>
        <w:ind w:firstLineChars="100" w:firstLine="210"/>
        <w:jc w:val="center"/>
        <w:rPr>
          <w:rFonts w:ascii="Century" w:eastAsia="ＭＳ 明朝" w:hAnsi="Century"/>
          <w:szCs w:val="24"/>
        </w:rPr>
      </w:pPr>
      <w:r w:rsidRPr="009F7D79">
        <w:rPr>
          <w:rFonts w:ascii="Century" w:eastAsia="ＭＳ 明朝" w:hAnsi="Century"/>
          <w:szCs w:val="24"/>
        </w:rPr>
        <w:t>記</w:t>
      </w:r>
    </w:p>
    <w:p w:rsidR="002F3798" w:rsidRPr="009F7D79" w:rsidRDefault="002F3798" w:rsidP="002F3798">
      <w:pPr>
        <w:ind w:firstLineChars="100" w:firstLine="210"/>
        <w:rPr>
          <w:rFonts w:ascii="Century" w:eastAsia="ＭＳ 明朝" w:hAnsi="Century"/>
          <w:szCs w:val="24"/>
        </w:rPr>
      </w:pPr>
    </w:p>
    <w:p w:rsidR="002F3798" w:rsidRPr="009F7D79" w:rsidRDefault="002F3798" w:rsidP="00C17E1C">
      <w:pPr>
        <w:rPr>
          <w:rFonts w:ascii="Century" w:eastAsia="ＭＳ 明朝" w:hAnsi="Century"/>
          <w:szCs w:val="24"/>
        </w:rPr>
      </w:pPr>
      <w:r w:rsidRPr="009F7D79">
        <w:rPr>
          <w:rFonts w:ascii="Century" w:eastAsia="ＭＳ 明朝" w:hAnsi="Century"/>
          <w:szCs w:val="24"/>
        </w:rPr>
        <w:t>〔全般的事項〕</w:t>
      </w:r>
    </w:p>
    <w:p w:rsidR="002F3798" w:rsidRPr="009F7D79" w:rsidRDefault="002F3798" w:rsidP="00C17E1C">
      <w:pPr>
        <w:ind w:firstLineChars="100" w:firstLine="210"/>
        <w:rPr>
          <w:rFonts w:ascii="Century" w:eastAsia="ＭＳ 明朝" w:hAnsi="Century"/>
          <w:szCs w:val="24"/>
        </w:rPr>
      </w:pPr>
      <w:r w:rsidRPr="009F7D79">
        <w:rPr>
          <w:rFonts w:ascii="Century" w:eastAsia="ＭＳ 明朝" w:hAnsi="Century"/>
          <w:szCs w:val="24"/>
        </w:rPr>
        <w:t>1</w:t>
      </w:r>
      <w:r w:rsidR="00C17E1C" w:rsidRPr="009F7D79">
        <w:rPr>
          <w:rFonts w:ascii="Century" w:eastAsia="ＭＳ 明朝" w:hAnsi="Century"/>
          <w:szCs w:val="24"/>
        </w:rPr>
        <w:t xml:space="preserve"> </w:t>
      </w:r>
      <w:r w:rsidRPr="009F7D79">
        <w:rPr>
          <w:rFonts w:ascii="Century" w:eastAsia="ＭＳ 明朝" w:hAnsi="Century"/>
          <w:szCs w:val="24"/>
        </w:rPr>
        <w:t>事業計画について</w:t>
      </w:r>
    </w:p>
    <w:p w:rsidR="002F3798" w:rsidRPr="009F7D79" w:rsidRDefault="002F3798" w:rsidP="00C17E1C">
      <w:pPr>
        <w:ind w:leftChars="200" w:left="420" w:firstLineChars="100" w:firstLine="210"/>
        <w:rPr>
          <w:rFonts w:ascii="Century" w:eastAsia="ＭＳ 明朝" w:hAnsi="Century"/>
          <w:szCs w:val="24"/>
        </w:rPr>
      </w:pPr>
      <w:r w:rsidRPr="009F7D79">
        <w:rPr>
          <w:rFonts w:ascii="Century" w:eastAsia="ＭＳ 明朝" w:hAnsi="Century"/>
          <w:szCs w:val="24"/>
        </w:rPr>
        <w:t>本事業は、国連が掲げる持続可能な開発目標（</w:t>
      </w:r>
      <w:r w:rsidRPr="009F7D79">
        <w:rPr>
          <w:rFonts w:ascii="Century" w:eastAsia="ＭＳ 明朝" w:hAnsi="Century"/>
          <w:szCs w:val="24"/>
        </w:rPr>
        <w:t>SDGs</w:t>
      </w:r>
      <w:r w:rsidRPr="009F7D79">
        <w:rPr>
          <w:rFonts w:ascii="Century" w:eastAsia="ＭＳ 明朝" w:hAnsi="Century"/>
          <w:szCs w:val="24"/>
        </w:rPr>
        <w:t>）が達成される社会をめざしていることから、事業</w:t>
      </w:r>
      <w:r w:rsidR="004825F6">
        <w:rPr>
          <w:rFonts w:ascii="Century" w:eastAsia="ＭＳ 明朝" w:hAnsi="Century"/>
          <w:szCs w:val="24"/>
        </w:rPr>
        <w:t>計画の検討にあたっては、その個別目標の達成に向けた具体的な取組</w:t>
      </w:r>
      <w:r w:rsidRPr="009F7D79">
        <w:rPr>
          <w:rFonts w:ascii="Century" w:eastAsia="ＭＳ 明朝" w:hAnsi="Century"/>
          <w:szCs w:val="24"/>
        </w:rPr>
        <w:t>内容を明らかにすること。</w:t>
      </w:r>
    </w:p>
    <w:p w:rsidR="002F3798" w:rsidRPr="004825F6" w:rsidRDefault="002F3798" w:rsidP="002F3798">
      <w:pPr>
        <w:ind w:firstLineChars="100" w:firstLine="210"/>
        <w:rPr>
          <w:rFonts w:ascii="Century" w:eastAsia="ＭＳ 明朝" w:hAnsi="Century"/>
          <w:szCs w:val="24"/>
        </w:rPr>
      </w:pPr>
    </w:p>
    <w:p w:rsidR="002F3798" w:rsidRPr="009F7D79" w:rsidRDefault="002F3798" w:rsidP="00C17E1C">
      <w:pPr>
        <w:ind w:firstLineChars="100" w:firstLine="210"/>
        <w:rPr>
          <w:rFonts w:ascii="Century" w:eastAsia="ＭＳ 明朝" w:hAnsi="Century"/>
          <w:szCs w:val="24"/>
        </w:rPr>
      </w:pPr>
      <w:r w:rsidRPr="009F7D79">
        <w:rPr>
          <w:rFonts w:ascii="Century" w:eastAsia="ＭＳ 明朝" w:hAnsi="Century"/>
          <w:szCs w:val="24"/>
        </w:rPr>
        <w:t>2</w:t>
      </w:r>
      <w:r w:rsidR="00C17E1C" w:rsidRPr="009F7D79">
        <w:rPr>
          <w:rFonts w:ascii="Century" w:eastAsia="ＭＳ 明朝" w:hAnsi="Century"/>
          <w:szCs w:val="24"/>
        </w:rPr>
        <w:t xml:space="preserve"> </w:t>
      </w:r>
      <w:r w:rsidRPr="009F7D79">
        <w:rPr>
          <w:rFonts w:ascii="Century" w:eastAsia="ＭＳ 明朝" w:hAnsi="Century"/>
          <w:szCs w:val="24"/>
        </w:rPr>
        <w:t>交通計画について</w:t>
      </w:r>
    </w:p>
    <w:p w:rsidR="002F3798" w:rsidRPr="009F7D79" w:rsidRDefault="002F3798" w:rsidP="00C17E1C">
      <w:pPr>
        <w:ind w:leftChars="200" w:left="420" w:firstLineChars="100" w:firstLine="210"/>
        <w:rPr>
          <w:rFonts w:ascii="Century" w:eastAsia="ＭＳ 明朝" w:hAnsi="Century"/>
          <w:szCs w:val="24"/>
        </w:rPr>
      </w:pPr>
      <w:r w:rsidRPr="009F7D79">
        <w:rPr>
          <w:rFonts w:ascii="Century" w:eastAsia="ＭＳ 明朝" w:hAnsi="Century"/>
          <w:szCs w:val="24"/>
        </w:rPr>
        <w:t>開催期間中には、自動車交通量の増加による環境影響が懸念されることから、</w:t>
      </w:r>
      <w:r w:rsidRPr="009F7D79">
        <w:rPr>
          <w:rFonts w:ascii="Century" w:eastAsia="ＭＳ 明朝" w:hAnsi="Century"/>
          <w:szCs w:val="24"/>
        </w:rPr>
        <w:t>ICT</w:t>
      </w:r>
      <w:r w:rsidRPr="009F7D79">
        <w:rPr>
          <w:rFonts w:ascii="Century" w:eastAsia="ＭＳ 明朝" w:hAnsi="Century"/>
          <w:szCs w:val="24"/>
        </w:rPr>
        <w:t>の活用による移動の最適化や他の交通機関の拡充等により、その影響を可能な限り低減すること。</w:t>
      </w:r>
    </w:p>
    <w:p w:rsidR="002F3798" w:rsidRPr="009F7D79" w:rsidRDefault="002F3798" w:rsidP="002F3798">
      <w:pPr>
        <w:ind w:firstLineChars="100" w:firstLine="210"/>
        <w:rPr>
          <w:rFonts w:ascii="Century" w:eastAsia="ＭＳ 明朝" w:hAnsi="Century"/>
          <w:szCs w:val="24"/>
        </w:rPr>
      </w:pPr>
    </w:p>
    <w:p w:rsidR="002F3798" w:rsidRPr="009F7D79" w:rsidRDefault="002F3798" w:rsidP="00E01604">
      <w:pPr>
        <w:rPr>
          <w:rFonts w:ascii="Century" w:eastAsia="ＭＳ 明朝" w:hAnsi="Century"/>
          <w:szCs w:val="24"/>
        </w:rPr>
      </w:pPr>
      <w:r w:rsidRPr="009F7D79">
        <w:rPr>
          <w:rFonts w:ascii="Century" w:eastAsia="ＭＳ 明朝" w:hAnsi="Century"/>
          <w:szCs w:val="24"/>
        </w:rPr>
        <w:t>〔水質・底質〕</w:t>
      </w:r>
    </w:p>
    <w:p w:rsidR="002F3798" w:rsidRPr="009F7D79" w:rsidRDefault="002F3798" w:rsidP="00C17E1C">
      <w:pPr>
        <w:ind w:leftChars="200" w:left="420" w:firstLineChars="100" w:firstLine="210"/>
        <w:rPr>
          <w:rFonts w:ascii="Century" w:eastAsia="ＭＳ 明朝" w:hAnsi="Century"/>
          <w:szCs w:val="24"/>
        </w:rPr>
      </w:pPr>
      <w:r w:rsidRPr="009F7D79">
        <w:rPr>
          <w:rFonts w:ascii="Century" w:eastAsia="ＭＳ 明朝" w:hAnsi="Century"/>
          <w:szCs w:val="24"/>
        </w:rPr>
        <w:t>排水による影響は、恒流等の流れにより放流口から南側に及ぶことが想定されることから、当該海域における流向・流速について、既存資料の収集に努めるとともに、必要に応じて現地調査を追加で実施するなど予測精度の向上を図ること。</w:t>
      </w:r>
    </w:p>
    <w:p w:rsidR="00780935" w:rsidRPr="009F7D79" w:rsidRDefault="00780935" w:rsidP="002F3798">
      <w:pPr>
        <w:ind w:leftChars="400" w:left="840" w:firstLineChars="100" w:firstLine="210"/>
        <w:rPr>
          <w:rFonts w:ascii="Century" w:eastAsia="ＭＳ 明朝" w:hAnsi="Century"/>
          <w:szCs w:val="24"/>
        </w:rPr>
      </w:pPr>
    </w:p>
    <w:p w:rsidR="002F3798" w:rsidRPr="009F7D79" w:rsidRDefault="002F3798" w:rsidP="00E01604">
      <w:pPr>
        <w:rPr>
          <w:rFonts w:ascii="Century" w:eastAsia="ＭＳ 明朝" w:hAnsi="Century"/>
          <w:szCs w:val="24"/>
        </w:rPr>
      </w:pPr>
      <w:r w:rsidRPr="009F7D79">
        <w:rPr>
          <w:rFonts w:ascii="Century" w:eastAsia="ＭＳ 明朝" w:hAnsi="Century"/>
          <w:szCs w:val="24"/>
        </w:rPr>
        <w:t>〔廃棄物・残土〕</w:t>
      </w:r>
    </w:p>
    <w:p w:rsidR="002F3798" w:rsidRPr="009F7D79" w:rsidRDefault="009F7D79" w:rsidP="00C17E1C">
      <w:pPr>
        <w:ind w:leftChars="200" w:left="420" w:firstLineChars="100" w:firstLine="210"/>
        <w:rPr>
          <w:rFonts w:ascii="Century" w:eastAsia="ＭＳ 明朝" w:hAnsi="Century"/>
          <w:szCs w:val="24"/>
        </w:rPr>
      </w:pPr>
      <w:r>
        <w:rPr>
          <w:rFonts w:ascii="Century" w:eastAsia="ＭＳ 明朝" w:hAnsi="Century"/>
          <w:szCs w:val="24"/>
        </w:rPr>
        <w:t>開催期間中には多くの来場者が見込まれること、撤去を前提とした</w:t>
      </w:r>
      <w:r w:rsidR="002F3798" w:rsidRPr="009F7D79">
        <w:rPr>
          <w:rFonts w:ascii="Century" w:eastAsia="ＭＳ 明朝" w:hAnsi="Century"/>
          <w:szCs w:val="24"/>
        </w:rPr>
        <w:t>事業であることから、建設から開催中、解体・撤去に至るまでのライフサイクル全体における廃棄物の削減について、過去</w:t>
      </w:r>
      <w:r w:rsidR="004825F6">
        <w:rPr>
          <w:rFonts w:ascii="Century" w:eastAsia="ＭＳ 明朝" w:hAnsi="Century"/>
          <w:szCs w:val="24"/>
        </w:rPr>
        <w:t>の博覧会を上回る目標を定め、最新技術の導入等による先進的な取組</w:t>
      </w:r>
      <w:r w:rsidR="002F3798" w:rsidRPr="009F7D79">
        <w:rPr>
          <w:rFonts w:ascii="Century" w:eastAsia="ＭＳ 明朝" w:hAnsi="Century"/>
          <w:szCs w:val="24"/>
        </w:rPr>
        <w:t>を検討すること。</w:t>
      </w:r>
    </w:p>
    <w:p w:rsidR="00C17E1C" w:rsidRPr="009F7D79" w:rsidRDefault="00C17E1C" w:rsidP="002F3798">
      <w:pPr>
        <w:ind w:firstLineChars="100" w:firstLine="210"/>
        <w:rPr>
          <w:rFonts w:ascii="Century" w:eastAsia="ＭＳ 明朝" w:hAnsi="Century"/>
          <w:szCs w:val="24"/>
        </w:rPr>
      </w:pPr>
    </w:p>
    <w:p w:rsidR="002F3798" w:rsidRPr="009F7D79" w:rsidRDefault="002F3798" w:rsidP="00E01604">
      <w:pPr>
        <w:rPr>
          <w:rFonts w:ascii="Century" w:eastAsia="ＭＳ 明朝" w:hAnsi="Century"/>
          <w:szCs w:val="24"/>
        </w:rPr>
      </w:pPr>
      <w:r w:rsidRPr="009F7D79">
        <w:rPr>
          <w:rFonts w:ascii="Century" w:eastAsia="ＭＳ 明朝" w:hAnsi="Century"/>
          <w:szCs w:val="24"/>
        </w:rPr>
        <w:t>〔地球環境〕</w:t>
      </w:r>
    </w:p>
    <w:p w:rsidR="002F3798" w:rsidRPr="009F7D79" w:rsidRDefault="002F3798" w:rsidP="00C17E1C">
      <w:pPr>
        <w:ind w:leftChars="200" w:left="420" w:firstLineChars="100" w:firstLine="210"/>
        <w:rPr>
          <w:rFonts w:ascii="Century" w:eastAsia="ＭＳ 明朝" w:hAnsi="Century"/>
          <w:szCs w:val="24"/>
        </w:rPr>
      </w:pPr>
      <w:r w:rsidRPr="009F7D79">
        <w:rPr>
          <w:rFonts w:ascii="Century" w:eastAsia="ＭＳ 明朝" w:hAnsi="Century"/>
          <w:szCs w:val="24"/>
        </w:rPr>
        <w:t>気候変動枠組条約第</w:t>
      </w:r>
      <w:r w:rsidRPr="009F7D79">
        <w:rPr>
          <w:rFonts w:ascii="Century" w:eastAsia="ＭＳ 明朝" w:hAnsi="Century"/>
          <w:szCs w:val="24"/>
        </w:rPr>
        <w:t>25</w:t>
      </w:r>
      <w:r w:rsidRPr="009F7D79">
        <w:rPr>
          <w:rFonts w:ascii="Century" w:eastAsia="ＭＳ 明朝" w:hAnsi="Century"/>
          <w:szCs w:val="24"/>
        </w:rPr>
        <w:t>回締約国会議（</w:t>
      </w:r>
      <w:r w:rsidRPr="009F7D79">
        <w:rPr>
          <w:rFonts w:ascii="Century" w:eastAsia="ＭＳ 明朝" w:hAnsi="Century"/>
          <w:szCs w:val="24"/>
        </w:rPr>
        <w:t>COP25</w:t>
      </w:r>
      <w:r w:rsidRPr="009F7D79">
        <w:rPr>
          <w:rFonts w:ascii="Century" w:eastAsia="ＭＳ 明朝" w:hAnsi="Century"/>
          <w:szCs w:val="24"/>
        </w:rPr>
        <w:t>）における議論や、万博が地球規模の課題に取り組むために世界各地から英知が集まる場であることを見据え、これまでの延長線上にない革新的技術の結集による脱炭素社会の具体像を会場整備の段階から定め、準備書で明らかにすること。</w:t>
      </w:r>
    </w:p>
    <w:p w:rsidR="002F3798" w:rsidRPr="009F7D79" w:rsidRDefault="002F3798" w:rsidP="002F3798">
      <w:pPr>
        <w:ind w:firstLineChars="100" w:firstLine="210"/>
        <w:rPr>
          <w:rFonts w:ascii="Century" w:eastAsia="ＭＳ 明朝" w:hAnsi="Century"/>
          <w:szCs w:val="24"/>
        </w:rPr>
      </w:pPr>
    </w:p>
    <w:p w:rsidR="002F3798" w:rsidRPr="009F7D79" w:rsidRDefault="002F3798" w:rsidP="00E01604">
      <w:pPr>
        <w:rPr>
          <w:rFonts w:ascii="Century" w:eastAsia="ＭＳ 明朝" w:hAnsi="Century"/>
          <w:szCs w:val="24"/>
        </w:rPr>
      </w:pPr>
      <w:r w:rsidRPr="009F7D79">
        <w:rPr>
          <w:rFonts w:ascii="Century" w:eastAsia="ＭＳ 明朝" w:hAnsi="Century"/>
          <w:szCs w:val="24"/>
        </w:rPr>
        <w:t>〔景観〕</w:t>
      </w:r>
    </w:p>
    <w:p w:rsidR="00924F5D" w:rsidRPr="009F7D79" w:rsidRDefault="002F3798" w:rsidP="00C17E1C">
      <w:pPr>
        <w:ind w:leftChars="200" w:left="420" w:firstLineChars="100" w:firstLine="210"/>
        <w:rPr>
          <w:rFonts w:ascii="Century" w:hAnsi="Century"/>
          <w:szCs w:val="24"/>
        </w:rPr>
      </w:pPr>
      <w:r w:rsidRPr="009F7D79">
        <w:rPr>
          <w:rFonts w:ascii="Century" w:eastAsia="ＭＳ 明朝" w:hAnsi="Century"/>
          <w:szCs w:val="24"/>
        </w:rPr>
        <w:t>事業計画地である夢洲は、大阪市の景観形成方針に掲げるウォーターフロント景観の形成において重要であることから、調査地点の選定にあたっては、船上から夢洲を眺望した際に、景観への影響が最も大きくなる海上の地点を追加すること。</w:t>
      </w:r>
    </w:p>
    <w:sectPr w:rsidR="00924F5D" w:rsidRPr="009F7D79" w:rsidSect="00C17E1C">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98" w:rsidRDefault="002F3798" w:rsidP="002F3798">
      <w:r>
        <w:separator/>
      </w:r>
    </w:p>
  </w:endnote>
  <w:endnote w:type="continuationSeparator" w:id="0">
    <w:p w:rsidR="002F3798" w:rsidRDefault="002F3798" w:rsidP="002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98" w:rsidRDefault="002F3798" w:rsidP="002F3798">
      <w:r>
        <w:separator/>
      </w:r>
    </w:p>
  </w:footnote>
  <w:footnote w:type="continuationSeparator" w:id="0">
    <w:p w:rsidR="002F3798" w:rsidRDefault="002F3798" w:rsidP="002F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7D"/>
    <w:rsid w:val="00101B79"/>
    <w:rsid w:val="001D2CAF"/>
    <w:rsid w:val="00261063"/>
    <w:rsid w:val="002A1464"/>
    <w:rsid w:val="002F298F"/>
    <w:rsid w:val="002F3798"/>
    <w:rsid w:val="004825F6"/>
    <w:rsid w:val="00780935"/>
    <w:rsid w:val="009F7D79"/>
    <w:rsid w:val="00C17E1C"/>
    <w:rsid w:val="00C4377D"/>
    <w:rsid w:val="00E0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798"/>
    <w:pPr>
      <w:tabs>
        <w:tab w:val="center" w:pos="4252"/>
        <w:tab w:val="right" w:pos="8504"/>
      </w:tabs>
      <w:snapToGrid w:val="0"/>
    </w:pPr>
  </w:style>
  <w:style w:type="character" w:customStyle="1" w:styleId="a4">
    <w:name w:val="ヘッダー (文字)"/>
    <w:basedOn w:val="a0"/>
    <w:link w:val="a3"/>
    <w:uiPriority w:val="99"/>
    <w:rsid w:val="002F3798"/>
  </w:style>
  <w:style w:type="paragraph" w:styleId="a5">
    <w:name w:val="footer"/>
    <w:basedOn w:val="a"/>
    <w:link w:val="a6"/>
    <w:uiPriority w:val="99"/>
    <w:unhideWhenUsed/>
    <w:rsid w:val="002F3798"/>
    <w:pPr>
      <w:tabs>
        <w:tab w:val="center" w:pos="4252"/>
        <w:tab w:val="right" w:pos="8504"/>
      </w:tabs>
      <w:snapToGrid w:val="0"/>
    </w:pPr>
  </w:style>
  <w:style w:type="character" w:customStyle="1" w:styleId="a6">
    <w:name w:val="フッター (文字)"/>
    <w:basedOn w:val="a0"/>
    <w:link w:val="a5"/>
    <w:uiPriority w:val="99"/>
    <w:rsid w:val="002F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2020-03-03T01:39:00Z</dcterms:created>
  <dcterms:modified xsi:type="dcterms:W3CDTF">2020-03-03T01:39:00Z</dcterms:modified>
</cp:coreProperties>
</file>