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2B" w:rsidRDefault="00C36F08" w:rsidP="008B4D23">
      <w:pPr>
        <w:ind w:left="221" w:hangingChars="100" w:hanging="221"/>
        <w:rPr>
          <w:rFonts w:asciiTheme="majorEastAsia" w:eastAsiaTheme="majorEastAsia" w:hAnsiTheme="majorEastAsia"/>
          <w:b/>
          <w:sz w:val="22"/>
        </w:rPr>
      </w:pPr>
      <w:bookmarkStart w:id="0" w:name="_GoBack"/>
      <w:bookmarkEnd w:id="0"/>
      <w:r w:rsidRPr="00A56028">
        <w:rPr>
          <w:rFonts w:asciiTheme="majorEastAsia" w:eastAsiaTheme="majorEastAsia" w:hAnsiTheme="majorEastAsia" w:hint="eastAsia"/>
          <w:b/>
          <w:sz w:val="22"/>
        </w:rPr>
        <w:t>大阪市環境局　家庭系ごみ収集輸送事業 改革プラン</w:t>
      </w:r>
      <w:r w:rsidR="00D57040">
        <w:rPr>
          <w:rFonts w:asciiTheme="majorEastAsia" w:eastAsiaTheme="majorEastAsia" w:hAnsiTheme="majorEastAsia" w:hint="eastAsia"/>
          <w:b/>
          <w:sz w:val="22"/>
        </w:rPr>
        <w:t>2.0</w:t>
      </w:r>
      <w:r w:rsidR="003254D7">
        <w:rPr>
          <w:rFonts w:asciiTheme="majorEastAsia" w:eastAsiaTheme="majorEastAsia" w:hAnsiTheme="majorEastAsia" w:hint="eastAsia"/>
          <w:b/>
          <w:sz w:val="22"/>
        </w:rPr>
        <w:t xml:space="preserve">　進捗</w:t>
      </w:r>
      <w:r w:rsidR="001447D9">
        <w:rPr>
          <w:rFonts w:asciiTheme="majorEastAsia" w:eastAsiaTheme="majorEastAsia" w:hAnsiTheme="majorEastAsia" w:hint="eastAsia"/>
          <w:b/>
          <w:sz w:val="22"/>
        </w:rPr>
        <w:t>状況</w:t>
      </w:r>
    </w:p>
    <w:p w:rsidR="00BA70E7" w:rsidRPr="00A56028" w:rsidRDefault="00BA70E7" w:rsidP="002173DE">
      <w:pPr>
        <w:spacing w:line="240" w:lineRule="exact"/>
        <w:ind w:left="221" w:hangingChars="100" w:hanging="221"/>
        <w:rPr>
          <w:rFonts w:asciiTheme="majorEastAsia" w:eastAsiaTheme="majorEastAsia" w:hAnsiTheme="majorEastAsia"/>
          <w:b/>
          <w:sz w:val="22"/>
        </w:rPr>
      </w:pPr>
    </w:p>
    <w:tbl>
      <w:tblPr>
        <w:tblStyle w:val="a3"/>
        <w:tblW w:w="21591" w:type="dxa"/>
        <w:jc w:val="center"/>
        <w:tblBorders>
          <w:top w:val="single" w:sz="8" w:space="0" w:color="auto"/>
          <w:left w:val="single" w:sz="8" w:space="0" w:color="auto"/>
          <w:bottom w:val="single" w:sz="8" w:space="0" w:color="auto"/>
          <w:right w:val="single" w:sz="8" w:space="0" w:color="auto"/>
        </w:tblBorders>
        <w:tblLayout w:type="fixed"/>
        <w:tblCellMar>
          <w:left w:w="28" w:type="dxa"/>
          <w:right w:w="28" w:type="dxa"/>
        </w:tblCellMar>
        <w:tblLook w:val="04A0" w:firstRow="1" w:lastRow="0" w:firstColumn="1" w:lastColumn="0" w:noHBand="0" w:noVBand="1"/>
      </w:tblPr>
      <w:tblGrid>
        <w:gridCol w:w="454"/>
        <w:gridCol w:w="436"/>
        <w:gridCol w:w="2644"/>
        <w:gridCol w:w="5460"/>
        <w:gridCol w:w="5460"/>
        <w:gridCol w:w="7137"/>
      </w:tblGrid>
      <w:tr w:rsidR="000A34C8" w:rsidTr="00A05663">
        <w:trPr>
          <w:tblHeader/>
          <w:jc w:val="center"/>
        </w:trPr>
        <w:tc>
          <w:tcPr>
            <w:tcW w:w="454" w:type="dxa"/>
            <w:tcBorders>
              <w:top w:val="single" w:sz="4" w:space="0" w:color="auto"/>
              <w:left w:val="single" w:sz="4" w:space="0" w:color="auto"/>
              <w:bottom w:val="double" w:sz="4" w:space="0" w:color="auto"/>
              <w:right w:val="single" w:sz="8" w:space="0" w:color="auto"/>
            </w:tcBorders>
            <w:shd w:val="clear" w:color="auto" w:fill="BDD6EE" w:themeFill="accent1" w:themeFillTint="66"/>
          </w:tcPr>
          <w:p w:rsidR="000A34C8" w:rsidRPr="00DA5A46" w:rsidRDefault="000A34C8" w:rsidP="0030779A">
            <w:pPr>
              <w:snapToGrid w:val="0"/>
              <w:spacing w:line="200" w:lineRule="exact"/>
              <w:jc w:val="center"/>
              <w:rPr>
                <w:sz w:val="16"/>
                <w:szCs w:val="16"/>
              </w:rPr>
            </w:pPr>
          </w:p>
        </w:tc>
        <w:tc>
          <w:tcPr>
            <w:tcW w:w="436" w:type="dxa"/>
            <w:tcBorders>
              <w:top w:val="single" w:sz="4" w:space="0" w:color="auto"/>
              <w:left w:val="single" w:sz="8" w:space="0" w:color="auto"/>
              <w:bottom w:val="double" w:sz="4" w:space="0" w:color="auto"/>
            </w:tcBorders>
            <w:shd w:val="clear" w:color="auto" w:fill="BDD6EE" w:themeFill="accent1" w:themeFillTint="66"/>
          </w:tcPr>
          <w:p w:rsidR="000A34C8" w:rsidRPr="00DA5A46" w:rsidRDefault="000A34C8" w:rsidP="0030779A">
            <w:pPr>
              <w:snapToGrid w:val="0"/>
              <w:spacing w:line="200" w:lineRule="exact"/>
              <w:jc w:val="center"/>
              <w:rPr>
                <w:sz w:val="16"/>
                <w:szCs w:val="16"/>
              </w:rPr>
            </w:pPr>
            <w:r>
              <w:rPr>
                <w:rFonts w:hint="eastAsia"/>
                <w:sz w:val="16"/>
                <w:szCs w:val="16"/>
              </w:rPr>
              <w:t>ｼｰﾄ</w:t>
            </w:r>
          </w:p>
          <w:p w:rsidR="000A34C8" w:rsidRPr="00DA5A46" w:rsidRDefault="000A34C8" w:rsidP="0030779A">
            <w:pPr>
              <w:snapToGrid w:val="0"/>
              <w:spacing w:line="200" w:lineRule="exact"/>
              <w:jc w:val="center"/>
              <w:rPr>
                <w:sz w:val="16"/>
                <w:szCs w:val="16"/>
              </w:rPr>
            </w:pPr>
            <w:r w:rsidRPr="00DA5A46">
              <w:rPr>
                <w:rFonts w:hint="eastAsia"/>
                <w:sz w:val="16"/>
                <w:szCs w:val="16"/>
              </w:rPr>
              <w:t>№</w:t>
            </w:r>
          </w:p>
        </w:tc>
        <w:tc>
          <w:tcPr>
            <w:tcW w:w="2644" w:type="dxa"/>
            <w:tcBorders>
              <w:top w:val="single" w:sz="4" w:space="0" w:color="auto"/>
              <w:bottom w:val="double" w:sz="4" w:space="0" w:color="auto"/>
            </w:tcBorders>
            <w:shd w:val="clear" w:color="auto" w:fill="BDD6EE" w:themeFill="accent1" w:themeFillTint="66"/>
            <w:vAlign w:val="center"/>
          </w:tcPr>
          <w:p w:rsidR="000A34C8" w:rsidRPr="00DA5A46" w:rsidRDefault="000A34C8" w:rsidP="0030779A">
            <w:pPr>
              <w:snapToGrid w:val="0"/>
              <w:spacing w:line="200" w:lineRule="exact"/>
              <w:jc w:val="center"/>
              <w:rPr>
                <w:sz w:val="16"/>
                <w:szCs w:val="16"/>
              </w:rPr>
            </w:pPr>
            <w:r w:rsidRPr="00DA5A46">
              <w:rPr>
                <w:rFonts w:hint="eastAsia"/>
                <w:sz w:val="16"/>
                <w:szCs w:val="16"/>
              </w:rPr>
              <w:t>事項</w:t>
            </w:r>
          </w:p>
        </w:tc>
        <w:tc>
          <w:tcPr>
            <w:tcW w:w="5460" w:type="dxa"/>
            <w:tcBorders>
              <w:top w:val="single" w:sz="4" w:space="0" w:color="auto"/>
              <w:bottom w:val="double" w:sz="4" w:space="0" w:color="auto"/>
            </w:tcBorders>
            <w:shd w:val="clear" w:color="auto" w:fill="BDD6EE" w:themeFill="accent1" w:themeFillTint="66"/>
            <w:vAlign w:val="center"/>
          </w:tcPr>
          <w:p w:rsidR="000A34C8" w:rsidRPr="00DA5A46" w:rsidRDefault="000A34C8" w:rsidP="0030779A">
            <w:pPr>
              <w:snapToGrid w:val="0"/>
              <w:spacing w:line="200" w:lineRule="exact"/>
              <w:jc w:val="center"/>
              <w:rPr>
                <w:sz w:val="16"/>
                <w:szCs w:val="16"/>
              </w:rPr>
            </w:pPr>
            <w:r>
              <w:rPr>
                <w:rFonts w:hint="eastAsia"/>
                <w:sz w:val="16"/>
                <w:szCs w:val="16"/>
              </w:rPr>
              <w:t>取組の方向性</w:t>
            </w:r>
          </w:p>
        </w:tc>
        <w:tc>
          <w:tcPr>
            <w:tcW w:w="5460" w:type="dxa"/>
            <w:tcBorders>
              <w:top w:val="single" w:sz="4" w:space="0" w:color="auto"/>
              <w:bottom w:val="double" w:sz="4" w:space="0" w:color="auto"/>
            </w:tcBorders>
            <w:shd w:val="clear" w:color="auto" w:fill="BDD6EE" w:themeFill="accent1" w:themeFillTint="66"/>
            <w:vAlign w:val="center"/>
          </w:tcPr>
          <w:p w:rsidR="000A34C8" w:rsidRPr="00DA5A46" w:rsidRDefault="000A34C8" w:rsidP="0030779A">
            <w:pPr>
              <w:snapToGrid w:val="0"/>
              <w:spacing w:line="200" w:lineRule="exact"/>
              <w:jc w:val="center"/>
              <w:rPr>
                <w:sz w:val="16"/>
                <w:szCs w:val="16"/>
              </w:rPr>
            </w:pPr>
            <w:r>
              <w:rPr>
                <w:rFonts w:hint="eastAsia"/>
                <w:sz w:val="16"/>
                <w:szCs w:val="16"/>
              </w:rPr>
              <w:t>目標</w:t>
            </w:r>
          </w:p>
        </w:tc>
        <w:tc>
          <w:tcPr>
            <w:tcW w:w="7137" w:type="dxa"/>
            <w:tcBorders>
              <w:top w:val="single" w:sz="4" w:space="0" w:color="auto"/>
              <w:bottom w:val="double" w:sz="4" w:space="0" w:color="auto"/>
              <w:right w:val="single" w:sz="4" w:space="0" w:color="auto"/>
            </w:tcBorders>
            <w:shd w:val="clear" w:color="auto" w:fill="BDD6EE" w:themeFill="accent1" w:themeFillTint="66"/>
            <w:vAlign w:val="center"/>
          </w:tcPr>
          <w:p w:rsidR="000A34C8" w:rsidRDefault="003254D7" w:rsidP="000A34C8">
            <w:pPr>
              <w:snapToGrid w:val="0"/>
              <w:spacing w:line="200" w:lineRule="exact"/>
              <w:jc w:val="center"/>
              <w:rPr>
                <w:sz w:val="16"/>
                <w:szCs w:val="16"/>
              </w:rPr>
            </w:pPr>
            <w:r>
              <w:rPr>
                <w:rFonts w:hint="eastAsia"/>
                <w:sz w:val="16"/>
                <w:szCs w:val="16"/>
              </w:rPr>
              <w:t>令和２年度　取組</w:t>
            </w:r>
            <w:r w:rsidR="00A05663">
              <w:rPr>
                <w:rFonts w:hint="eastAsia"/>
                <w:sz w:val="16"/>
                <w:szCs w:val="16"/>
              </w:rPr>
              <w:t>（□で記載）</w:t>
            </w:r>
            <w:r>
              <w:rPr>
                <w:rFonts w:hint="eastAsia"/>
                <w:sz w:val="16"/>
                <w:szCs w:val="16"/>
              </w:rPr>
              <w:t>・</w:t>
            </w:r>
            <w:r w:rsidR="00F170E2">
              <w:rPr>
                <w:rFonts w:hint="eastAsia"/>
                <w:sz w:val="16"/>
                <w:szCs w:val="16"/>
              </w:rPr>
              <w:t>成果</w:t>
            </w:r>
            <w:r w:rsidR="00A05663">
              <w:rPr>
                <w:rFonts w:hint="eastAsia"/>
                <w:sz w:val="16"/>
                <w:szCs w:val="16"/>
              </w:rPr>
              <w:t>（■で記載）</w:t>
            </w:r>
          </w:p>
        </w:tc>
      </w:tr>
      <w:tr w:rsidR="000A34C8" w:rsidRPr="00DA5A46" w:rsidTr="001261BB">
        <w:trPr>
          <w:trHeight w:val="805"/>
          <w:jc w:val="center"/>
        </w:trPr>
        <w:tc>
          <w:tcPr>
            <w:tcW w:w="454" w:type="dxa"/>
            <w:vMerge w:val="restart"/>
            <w:tcBorders>
              <w:top w:val="double" w:sz="4" w:space="0" w:color="auto"/>
              <w:left w:val="single" w:sz="4" w:space="0" w:color="auto"/>
              <w:right w:val="single" w:sz="8" w:space="0" w:color="auto"/>
            </w:tcBorders>
            <w:shd w:val="clear" w:color="auto" w:fill="323E4F" w:themeFill="text2" w:themeFillShade="BF"/>
            <w:textDirection w:val="tbRlV"/>
            <w:vAlign w:val="center"/>
          </w:tcPr>
          <w:p w:rsidR="000A34C8" w:rsidRPr="00DA5A46" w:rsidRDefault="000A34C8" w:rsidP="0030779A">
            <w:pPr>
              <w:snapToGrid w:val="0"/>
              <w:spacing w:line="240" w:lineRule="exact"/>
              <w:ind w:left="113" w:right="113"/>
              <w:jc w:val="center"/>
              <w:rPr>
                <w:rFonts w:asciiTheme="minorEastAsia" w:hAnsiTheme="minorEastAsia"/>
                <w:sz w:val="16"/>
                <w:szCs w:val="16"/>
              </w:rPr>
            </w:pPr>
            <w:r>
              <w:rPr>
                <w:rFonts w:asciiTheme="minorEastAsia" w:hAnsiTheme="minorEastAsia" w:hint="eastAsia"/>
                <w:sz w:val="16"/>
                <w:szCs w:val="16"/>
              </w:rPr>
              <w:t>１　経費の削減</w:t>
            </w:r>
          </w:p>
        </w:tc>
        <w:tc>
          <w:tcPr>
            <w:tcW w:w="436" w:type="dxa"/>
            <w:tcBorders>
              <w:top w:val="double" w:sz="4" w:space="0" w:color="auto"/>
              <w:left w:val="single" w:sz="8" w:space="0" w:color="auto"/>
            </w:tcBorders>
            <w:vAlign w:val="center"/>
          </w:tcPr>
          <w:p w:rsidR="000A34C8" w:rsidRPr="00154D22" w:rsidRDefault="000A34C8"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１</w:t>
            </w:r>
          </w:p>
        </w:tc>
        <w:tc>
          <w:tcPr>
            <w:tcW w:w="2644" w:type="dxa"/>
            <w:tcBorders>
              <w:top w:val="double" w:sz="4" w:space="0" w:color="auto"/>
            </w:tcBorders>
            <w:vAlign w:val="center"/>
          </w:tcPr>
          <w:p w:rsidR="000A34C8" w:rsidRPr="00154D22" w:rsidRDefault="000A34C8" w:rsidP="00154D22">
            <w:pPr>
              <w:snapToGrid w:val="0"/>
              <w:spacing w:line="180" w:lineRule="exact"/>
              <w:ind w:left="160" w:hangingChars="100" w:hanging="160"/>
              <w:rPr>
                <w:rFonts w:asciiTheme="minorEastAsia" w:hAnsiTheme="minorEastAsia"/>
                <w:sz w:val="16"/>
                <w:szCs w:val="16"/>
                <w:highlight w:val="yellow"/>
              </w:rPr>
            </w:pPr>
            <w:r w:rsidRPr="00D57040">
              <w:rPr>
                <w:rFonts w:hint="eastAsia"/>
                <w:sz w:val="16"/>
                <w:szCs w:val="16"/>
              </w:rPr>
              <w:t>民間委託の拡大</w:t>
            </w:r>
          </w:p>
        </w:tc>
        <w:tc>
          <w:tcPr>
            <w:tcW w:w="5460" w:type="dxa"/>
            <w:tcBorders>
              <w:top w:val="double" w:sz="4" w:space="0" w:color="auto"/>
            </w:tcBorders>
          </w:tcPr>
          <w:p w:rsidR="000A34C8" w:rsidRPr="006E6782" w:rsidRDefault="000A34C8" w:rsidP="0005347E">
            <w:pPr>
              <w:snapToGrid w:val="0"/>
              <w:spacing w:line="180" w:lineRule="exact"/>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官と民の役割分担を明確にしながら、職員の減員数に合わせ、民間委託化を拡大していく。</w:t>
            </w:r>
          </w:p>
          <w:p w:rsidR="000A34C8" w:rsidRPr="006E6782" w:rsidRDefault="000A34C8" w:rsidP="0005347E">
            <w:pPr>
              <w:snapToGrid w:val="0"/>
              <w:spacing w:line="180" w:lineRule="exact"/>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環境事業センターの統廃合計画も勘案しながら、行政が維持する「普通ごみ収集業務」「地域連携業務」「管理・監督業務」を除き、業務区分単位により展開していく。</w:t>
            </w:r>
          </w:p>
          <w:p w:rsidR="000A34C8" w:rsidRPr="007D45B3" w:rsidRDefault="000A34C8" w:rsidP="006E6782">
            <w:pPr>
              <w:snapToGrid w:val="0"/>
              <w:spacing w:line="180" w:lineRule="exact"/>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今後、資源ごみ・容器包装プラスチック収集を優先的に民間委託化する。</w:t>
            </w:r>
          </w:p>
        </w:tc>
        <w:tc>
          <w:tcPr>
            <w:tcW w:w="5460" w:type="dxa"/>
            <w:tcBorders>
              <w:top w:val="double" w:sz="4" w:space="0" w:color="auto"/>
            </w:tcBorders>
          </w:tcPr>
          <w:p w:rsidR="000A34C8" w:rsidRDefault="000A34C8" w:rsidP="00A61AC2">
            <w:pPr>
              <w:snapToGrid w:val="0"/>
              <w:ind w:firstLineChars="100" w:firstLine="160"/>
              <w:rPr>
                <w:rFonts w:asciiTheme="minorEastAsia" w:hAnsiTheme="minorEastAsia"/>
                <w:color w:val="000000" w:themeColor="text1"/>
                <w:sz w:val="16"/>
                <w:szCs w:val="16"/>
              </w:rPr>
            </w:pPr>
            <w:r>
              <w:rPr>
                <w:rFonts w:asciiTheme="minorEastAsia" w:hAnsiTheme="minorEastAsia"/>
                <w:color w:val="000000" w:themeColor="text1"/>
                <w:sz w:val="16"/>
                <w:szCs w:val="16"/>
              </w:rPr>
              <w:t>2020(</w:t>
            </w:r>
            <w:r>
              <w:rPr>
                <w:rFonts w:asciiTheme="minorEastAsia" w:hAnsiTheme="minorEastAsia" w:hint="eastAsia"/>
                <w:color w:val="000000" w:themeColor="text1"/>
                <w:sz w:val="16"/>
                <w:szCs w:val="16"/>
              </w:rPr>
              <w:t>令和２)</w:t>
            </w:r>
            <w:r w:rsidRPr="00683CE8">
              <w:rPr>
                <w:rFonts w:asciiTheme="minorEastAsia" w:hAnsiTheme="minorEastAsia" w:hint="eastAsia"/>
                <w:color w:val="000000" w:themeColor="text1"/>
                <w:sz w:val="16"/>
                <w:szCs w:val="16"/>
              </w:rPr>
              <w:t xml:space="preserve">年度　</w:t>
            </w:r>
            <w:r>
              <w:rPr>
                <w:rFonts w:asciiTheme="minorEastAsia" w:hAnsiTheme="minorEastAsia" w:hint="eastAsia"/>
                <w:color w:val="000000" w:themeColor="text1"/>
                <w:sz w:val="16"/>
                <w:szCs w:val="16"/>
              </w:rPr>
              <w:t xml:space="preserve">　東南センター</w:t>
            </w:r>
            <w:r w:rsidRPr="00795180">
              <w:rPr>
                <w:rFonts w:asciiTheme="minorEastAsia" w:hAnsiTheme="minorEastAsia" w:hint="eastAsia"/>
                <w:color w:val="000000" w:themeColor="text1"/>
                <w:sz w:val="16"/>
                <w:szCs w:val="16"/>
              </w:rPr>
              <w:t>（約25名）</w:t>
            </w:r>
          </w:p>
          <w:p w:rsidR="000A34C8" w:rsidRPr="00683CE8" w:rsidRDefault="000A34C8" w:rsidP="00A61AC2">
            <w:pPr>
              <w:snapToGrid w:val="0"/>
              <w:ind w:firstLineChars="100" w:firstLine="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2021(令和３)年度　　東北・西北センター</w:t>
            </w:r>
            <w:r w:rsidRPr="00795180">
              <w:rPr>
                <w:rFonts w:asciiTheme="minorEastAsia" w:hAnsiTheme="minorEastAsia" w:hint="eastAsia"/>
                <w:color w:val="000000" w:themeColor="text1"/>
                <w:sz w:val="16"/>
                <w:szCs w:val="16"/>
              </w:rPr>
              <w:t>（約70名）</w:t>
            </w:r>
          </w:p>
          <w:p w:rsidR="000A34C8" w:rsidRDefault="000A34C8" w:rsidP="00A61AC2">
            <w:pPr>
              <w:snapToGrid w:val="0"/>
              <w:ind w:firstLineChars="100" w:firstLine="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2022(令和４)年度　　西南センター</w:t>
            </w:r>
            <w:r w:rsidRPr="00795180">
              <w:rPr>
                <w:rFonts w:asciiTheme="minorEastAsia" w:hAnsiTheme="minorEastAsia" w:hint="eastAsia"/>
                <w:color w:val="000000" w:themeColor="text1"/>
                <w:sz w:val="16"/>
                <w:szCs w:val="16"/>
              </w:rPr>
              <w:t>（約45名）</w:t>
            </w:r>
          </w:p>
          <w:p w:rsidR="000A34C8" w:rsidRPr="00344C9B" w:rsidRDefault="000A34C8" w:rsidP="00A61AC2">
            <w:pPr>
              <w:snapToGrid w:val="0"/>
              <w:ind w:firstLineChars="100" w:firstLine="160"/>
              <w:rPr>
                <w:rFonts w:asciiTheme="minorEastAsia" w:hAnsiTheme="minorEastAsia"/>
                <w:color w:val="000000" w:themeColor="text1"/>
                <w:sz w:val="16"/>
                <w:szCs w:val="16"/>
              </w:rPr>
            </w:pPr>
            <w:r w:rsidRPr="00344C9B">
              <w:rPr>
                <w:rFonts w:asciiTheme="minorEastAsia" w:hAnsiTheme="minorEastAsia" w:hint="eastAsia"/>
                <w:color w:val="000000" w:themeColor="text1"/>
                <w:sz w:val="16"/>
                <w:szCs w:val="16"/>
              </w:rPr>
              <w:t>※職員の減員等の状況に応じて、前倒し</w:t>
            </w:r>
          </w:p>
        </w:tc>
        <w:tc>
          <w:tcPr>
            <w:tcW w:w="7137" w:type="dxa"/>
            <w:tcBorders>
              <w:top w:val="double" w:sz="4" w:space="0" w:color="auto"/>
              <w:right w:val="single" w:sz="4" w:space="0" w:color="auto"/>
            </w:tcBorders>
          </w:tcPr>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行政が維持する「普通ごみ収集業務」「地域連携業務」「管理・監督業務」を除く業務（資源ごみ収集、容器包装プラスチック収集、古紙・衣類収集）について、民間委託化することとし、職員の減員数に合わせて資源ごみ、容器包装プラスチック収集の民間委託化を拡大した。</w:t>
            </w:r>
          </w:p>
          <w:p w:rsidR="001A342C"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令和２年度については、東南環境事業センター（平野区）の資源ごみ・容器包装プラスチック収集を民間委託した。</w:t>
            </w:r>
          </w:p>
        </w:tc>
      </w:tr>
      <w:tr w:rsidR="000A34C8" w:rsidRPr="00DA4E46" w:rsidTr="001261BB">
        <w:trPr>
          <w:trHeight w:val="854"/>
          <w:jc w:val="center"/>
        </w:trPr>
        <w:tc>
          <w:tcPr>
            <w:tcW w:w="454" w:type="dxa"/>
            <w:vMerge/>
            <w:tcBorders>
              <w:left w:val="single" w:sz="4" w:space="0" w:color="auto"/>
              <w:right w:val="single" w:sz="8" w:space="0" w:color="auto"/>
            </w:tcBorders>
            <w:shd w:val="clear" w:color="auto" w:fill="323E4F" w:themeFill="text2" w:themeFillShade="BF"/>
            <w:vAlign w:val="center"/>
          </w:tcPr>
          <w:p w:rsidR="000A34C8" w:rsidRPr="00DA5A46" w:rsidRDefault="000A34C8" w:rsidP="0030779A">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0A34C8" w:rsidRPr="00154D22" w:rsidRDefault="000A34C8"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２</w:t>
            </w:r>
          </w:p>
        </w:tc>
        <w:tc>
          <w:tcPr>
            <w:tcW w:w="2644" w:type="dxa"/>
            <w:vAlign w:val="center"/>
          </w:tcPr>
          <w:p w:rsidR="000A34C8" w:rsidRPr="00154D22" w:rsidRDefault="000A34C8" w:rsidP="00154D22">
            <w:pPr>
              <w:snapToGrid w:val="0"/>
              <w:spacing w:line="180" w:lineRule="exact"/>
              <w:rPr>
                <w:rFonts w:asciiTheme="minorEastAsia" w:hAnsiTheme="minorEastAsia"/>
                <w:sz w:val="16"/>
                <w:szCs w:val="16"/>
                <w:highlight w:val="yellow"/>
              </w:rPr>
            </w:pPr>
            <w:r w:rsidRPr="00D57040">
              <w:rPr>
                <w:rFonts w:hint="eastAsia"/>
                <w:sz w:val="16"/>
                <w:szCs w:val="16"/>
              </w:rPr>
              <w:t>委託事業者の育成</w:t>
            </w:r>
          </w:p>
        </w:tc>
        <w:tc>
          <w:tcPr>
            <w:tcW w:w="5460" w:type="dxa"/>
            <w:tcBorders>
              <w:top w:val="single" w:sz="4" w:space="0" w:color="auto"/>
            </w:tcBorders>
          </w:tcPr>
          <w:p w:rsidR="000A34C8" w:rsidRPr="006E6782" w:rsidRDefault="000A34C8" w:rsidP="0005347E">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今後、民間委託化を拡大する中で、経費削減効果の観点から、作業計画の自由度は一定認めながら、市民サービスの維持・向上をめざした取組を行う。</w:t>
            </w:r>
          </w:p>
          <w:p w:rsidR="000A34C8" w:rsidRPr="00683CE8" w:rsidRDefault="000A34C8" w:rsidP="0005347E">
            <w:pPr>
              <w:snapToGrid w:val="0"/>
              <w:spacing w:line="180" w:lineRule="exact"/>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官と民の役割分担を明確化し、相互に競争と連携を構築できている環境事業センターもあり、そうした相乗効果が発現できる関係を構築する。</w:t>
            </w:r>
          </w:p>
        </w:tc>
        <w:tc>
          <w:tcPr>
            <w:tcW w:w="5460" w:type="dxa"/>
          </w:tcPr>
          <w:p w:rsidR="000A34C8" w:rsidRPr="006E6782" w:rsidRDefault="000A34C8" w:rsidP="0005347E">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〇 委託事業者が収集作業を実施する際の基本となる仕様書や収集運搬マニュアル等を直営作業と同水準以上に見直し、次の契約更新のタイミングから適用していく。</w:t>
            </w:r>
          </w:p>
          <w:p w:rsidR="000A34C8" w:rsidRPr="00683CE8" w:rsidRDefault="000A34C8" w:rsidP="0005347E">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〇 粗雑履行等を続ける委託事業者に対し、入札参加資格条件を含めたペナルティの検討を行う。</w:t>
            </w:r>
          </w:p>
        </w:tc>
        <w:tc>
          <w:tcPr>
            <w:tcW w:w="7137" w:type="dxa"/>
            <w:tcBorders>
              <w:right w:val="single" w:sz="4" w:space="0" w:color="auto"/>
            </w:tcBorders>
          </w:tcPr>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家庭系ごみ収集輸送業務の民間委託契約について、事業者からの提案により作業計画の協議を可能とするよう、仕様書の内容を見直すなど、事業者の自由度を高めた。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家庭系ごみ収集輸送業務の入札参加事業者の固定化を防ぐため、入札参加資格要件を見直した。</w:t>
            </w:r>
          </w:p>
          <w:p w:rsidR="00DE10D3"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令和３年度からの委託案件に上記を適用し、新規参入が見受けられたほか、競争性が担保された。</w:t>
            </w:r>
          </w:p>
        </w:tc>
      </w:tr>
      <w:tr w:rsidR="000A34C8" w:rsidRPr="00DA5A46" w:rsidTr="001261BB">
        <w:trPr>
          <w:trHeight w:val="940"/>
          <w:jc w:val="center"/>
        </w:trPr>
        <w:tc>
          <w:tcPr>
            <w:tcW w:w="454" w:type="dxa"/>
            <w:vMerge/>
            <w:tcBorders>
              <w:left w:val="single" w:sz="4" w:space="0" w:color="auto"/>
              <w:right w:val="single" w:sz="8" w:space="0" w:color="auto"/>
            </w:tcBorders>
            <w:shd w:val="clear" w:color="auto" w:fill="323E4F" w:themeFill="text2" w:themeFillShade="BF"/>
            <w:vAlign w:val="center"/>
          </w:tcPr>
          <w:p w:rsidR="000A34C8" w:rsidRPr="00DA5A46" w:rsidRDefault="000A34C8" w:rsidP="0030779A">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0A34C8" w:rsidRPr="00154D22" w:rsidRDefault="000A34C8"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３</w:t>
            </w:r>
          </w:p>
        </w:tc>
        <w:tc>
          <w:tcPr>
            <w:tcW w:w="2644" w:type="dxa"/>
            <w:vAlign w:val="center"/>
          </w:tcPr>
          <w:p w:rsidR="000A34C8" w:rsidRPr="00154D22" w:rsidRDefault="000A34C8" w:rsidP="00154D22">
            <w:pPr>
              <w:snapToGrid w:val="0"/>
              <w:spacing w:line="180" w:lineRule="exact"/>
              <w:rPr>
                <w:rFonts w:asciiTheme="minorEastAsia" w:hAnsiTheme="minorEastAsia"/>
                <w:sz w:val="16"/>
                <w:szCs w:val="16"/>
                <w:highlight w:val="yellow"/>
              </w:rPr>
            </w:pPr>
            <w:r w:rsidRPr="00E3762D">
              <w:rPr>
                <w:rFonts w:hint="eastAsia"/>
                <w:sz w:val="16"/>
                <w:szCs w:val="16"/>
              </w:rPr>
              <w:t>環境事業センターの統廃合</w:t>
            </w:r>
          </w:p>
        </w:tc>
        <w:tc>
          <w:tcPr>
            <w:tcW w:w="5460" w:type="dxa"/>
          </w:tcPr>
          <w:p w:rsidR="000A34C8" w:rsidRPr="00852497" w:rsidRDefault="000A34C8" w:rsidP="0005347E">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民間委託の拡大を図りつつ、次の①～④を勘案しながら、環境事業センターの配置を適正化（統廃合）し、経費の削減を図りつつ、継続した事業運営のために建物更新を進める。</w:t>
            </w:r>
          </w:p>
          <w:p w:rsidR="000A34C8" w:rsidRPr="00852497" w:rsidRDefault="000A34C8" w:rsidP="00852497">
            <w:pPr>
              <w:snapToGrid w:val="0"/>
              <w:ind w:left="160" w:hangingChars="100" w:hanging="160"/>
              <w:rPr>
                <w:rFonts w:asciiTheme="minorEastAsia" w:hAnsiTheme="minorEastAsia"/>
                <w:color w:val="000000" w:themeColor="text1"/>
                <w:sz w:val="16"/>
                <w:szCs w:val="16"/>
              </w:rPr>
            </w:pPr>
            <w:r w:rsidRPr="00852497">
              <w:rPr>
                <w:rFonts w:asciiTheme="minorEastAsia" w:hAnsiTheme="minorEastAsia" w:hint="eastAsia"/>
                <w:color w:val="000000" w:themeColor="text1"/>
                <w:sz w:val="16"/>
                <w:szCs w:val="16"/>
              </w:rPr>
              <w:t xml:space="preserve">　 ① 施設の余剰　　② 施設の老朽度　　③ 輸送効率　　④ 災害時対応</w:t>
            </w:r>
          </w:p>
          <w:p w:rsidR="000A34C8" w:rsidRPr="00683CE8" w:rsidRDefault="000A34C8" w:rsidP="0005347E">
            <w:pPr>
              <w:snapToGrid w:val="0"/>
              <w:spacing w:line="180" w:lineRule="exact"/>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環境事業センターについて、輸送効率を勘案した地域割りを行うなど、所管地域の見直しを図る。</w:t>
            </w:r>
          </w:p>
        </w:tc>
        <w:tc>
          <w:tcPr>
            <w:tcW w:w="5460" w:type="dxa"/>
          </w:tcPr>
          <w:p w:rsidR="000A34C8" w:rsidRPr="00683CE8" w:rsidRDefault="000A34C8" w:rsidP="0005347E">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〇 災害時対応に加え、輸送効率も考慮した、環境事業センターの適正配置に向けて、この３年間で、２環境事業センターの廃止に着手（北部環境事業センター及び大規模震災時に浸水の可能性が高い市域の西側にある環境事業センターのうち１つ）する。</w:t>
            </w:r>
          </w:p>
        </w:tc>
        <w:tc>
          <w:tcPr>
            <w:tcW w:w="7137" w:type="dxa"/>
            <w:tcBorders>
              <w:right w:val="single" w:sz="4" w:space="0" w:color="auto"/>
            </w:tcBorders>
          </w:tcPr>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北部環境事業センターの廃止に向けて準備を進めた。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廃止・統合を行うため、北部環境事業センターが所管してきた北区・都島区の住民に対して、区広報紙をはじめ、ホームページやＳＮＳ等を活用して、丁寧な周知を行った。</w:t>
            </w:r>
          </w:p>
          <w:p w:rsidR="00FE436D"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令和３年３月31日をもって北部環境事業センターを廃止し、令和３年４月１日から東北環境事業センターに移管統合する。</w:t>
            </w:r>
          </w:p>
        </w:tc>
      </w:tr>
      <w:tr w:rsidR="000A34C8" w:rsidRPr="00DA5A46" w:rsidTr="00A05663">
        <w:trPr>
          <w:trHeight w:val="1285"/>
          <w:jc w:val="center"/>
        </w:trPr>
        <w:tc>
          <w:tcPr>
            <w:tcW w:w="454" w:type="dxa"/>
            <w:vMerge/>
            <w:tcBorders>
              <w:left w:val="single" w:sz="4" w:space="0" w:color="auto"/>
              <w:right w:val="single" w:sz="8" w:space="0" w:color="auto"/>
            </w:tcBorders>
            <w:shd w:val="clear" w:color="auto" w:fill="323E4F" w:themeFill="text2" w:themeFillShade="BF"/>
            <w:vAlign w:val="center"/>
          </w:tcPr>
          <w:p w:rsidR="000A34C8" w:rsidRPr="00DA5A46" w:rsidRDefault="000A34C8" w:rsidP="0030779A">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0A34C8" w:rsidRPr="00154D22" w:rsidRDefault="000A34C8"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４</w:t>
            </w:r>
          </w:p>
        </w:tc>
        <w:tc>
          <w:tcPr>
            <w:tcW w:w="2644" w:type="dxa"/>
            <w:vAlign w:val="center"/>
          </w:tcPr>
          <w:p w:rsidR="000A34C8" w:rsidRPr="00154D22" w:rsidRDefault="000A34C8" w:rsidP="00154D22">
            <w:pPr>
              <w:snapToGrid w:val="0"/>
              <w:spacing w:line="180" w:lineRule="exact"/>
              <w:rPr>
                <w:rFonts w:asciiTheme="minorEastAsia" w:hAnsiTheme="minorEastAsia"/>
                <w:sz w:val="16"/>
                <w:szCs w:val="16"/>
                <w:highlight w:val="yellow"/>
              </w:rPr>
            </w:pPr>
            <w:r w:rsidRPr="00E3762D">
              <w:rPr>
                <w:rFonts w:hint="eastAsia"/>
                <w:sz w:val="16"/>
                <w:szCs w:val="16"/>
              </w:rPr>
              <w:t>事業の継続性の確保</w:t>
            </w:r>
          </w:p>
        </w:tc>
        <w:tc>
          <w:tcPr>
            <w:tcW w:w="5460" w:type="dxa"/>
          </w:tcPr>
          <w:p w:rsidR="000A34C8" w:rsidRPr="006E6782" w:rsidRDefault="000A34C8" w:rsidP="0005347E">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将来的なリスク負担の軽減を図るとともに、環境事業センターの統廃合により、大規模修繕等を行う経費を減らしていく。</w:t>
            </w:r>
          </w:p>
          <w:p w:rsidR="000A34C8" w:rsidRPr="006E6782" w:rsidRDefault="000A34C8" w:rsidP="0005347E">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再編後の戦略的な維持管理を行っていくため、LCC（Life cycle cost＝ライフ・サイクル・コスト）の観点から大規模修繕等にかかる負担の平準化を図る。</w:t>
            </w:r>
          </w:p>
          <w:p w:rsidR="000A34C8" w:rsidRPr="00683CE8" w:rsidRDefault="000A34C8" w:rsidP="0005347E">
            <w:pPr>
              <w:snapToGrid w:val="0"/>
              <w:spacing w:line="180" w:lineRule="exact"/>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環境事業センターの統廃合により不要となった施設・建物を売却処分や貸付することで、大規模修繕等の財源に充当していく。</w:t>
            </w:r>
          </w:p>
        </w:tc>
        <w:tc>
          <w:tcPr>
            <w:tcW w:w="5460" w:type="dxa"/>
          </w:tcPr>
          <w:p w:rsidR="000A34C8" w:rsidRPr="006E6782" w:rsidRDefault="000A34C8" w:rsidP="0005347E">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〇 災害対策に加え、輸送効率も考慮した、環境事業センターの適正配置に向けて、この３年間で、２環境事業センターの廃止に着手（北部環境事業センター及び大規模震災時に浸水の可能性が高い市域の西側にある環境事業センターのうち１つ）する。（再掲）</w:t>
            </w:r>
          </w:p>
          <w:p w:rsidR="000A34C8" w:rsidRPr="00683CE8" w:rsidRDefault="000A34C8" w:rsidP="006E6782">
            <w:pPr>
              <w:snapToGrid w:val="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〇 今後の環境事業センター大規模修繕等計画を、詳細に設計する。</w:t>
            </w:r>
          </w:p>
        </w:tc>
        <w:tc>
          <w:tcPr>
            <w:tcW w:w="7137" w:type="dxa"/>
            <w:tcBorders>
              <w:right w:val="single" w:sz="4" w:space="0" w:color="auto"/>
            </w:tcBorders>
          </w:tcPr>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大規模修繕等にかかる経費を節減し、効果的に行うため、ＬＣＣ（ライフ・サイクル・コスト）の観点も踏まえ、戦略的な事業運営を行うための施設配置の再編を検討した。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設備面で老朽化が著しい給油設備について、更新の必要性を検討し、優先順位を設定した。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令和３年３月31日をもって北部環境事業センターを廃止した。</w:t>
            </w:r>
          </w:p>
          <w:p w:rsidR="00CC3CC4"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施設の竣工年度が最も古い南部環境事業センターについて、付帯施設を含む大規模修繕方法の検討を進めた。</w:t>
            </w:r>
          </w:p>
        </w:tc>
      </w:tr>
      <w:tr w:rsidR="000A34C8" w:rsidRPr="00DA5A46" w:rsidTr="00A05663">
        <w:trPr>
          <w:trHeight w:val="1439"/>
          <w:jc w:val="center"/>
        </w:trPr>
        <w:tc>
          <w:tcPr>
            <w:tcW w:w="454" w:type="dxa"/>
            <w:vMerge/>
            <w:tcBorders>
              <w:left w:val="single" w:sz="4" w:space="0" w:color="auto"/>
              <w:bottom w:val="single" w:sz="4" w:space="0" w:color="auto"/>
              <w:right w:val="single" w:sz="8" w:space="0" w:color="auto"/>
            </w:tcBorders>
            <w:shd w:val="clear" w:color="auto" w:fill="323E4F" w:themeFill="text2" w:themeFillShade="BF"/>
            <w:vAlign w:val="center"/>
          </w:tcPr>
          <w:p w:rsidR="000A34C8" w:rsidRPr="00DA5A46" w:rsidRDefault="000A34C8" w:rsidP="0030779A">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0A34C8" w:rsidRPr="00154D22" w:rsidRDefault="000A34C8"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５</w:t>
            </w:r>
          </w:p>
        </w:tc>
        <w:tc>
          <w:tcPr>
            <w:tcW w:w="2644" w:type="dxa"/>
            <w:vAlign w:val="center"/>
          </w:tcPr>
          <w:p w:rsidR="000A34C8" w:rsidRPr="00154D22" w:rsidRDefault="000A34C8" w:rsidP="00154D22">
            <w:pPr>
              <w:snapToGrid w:val="0"/>
              <w:spacing w:line="180" w:lineRule="exact"/>
              <w:rPr>
                <w:rFonts w:asciiTheme="minorEastAsia" w:hAnsiTheme="minorEastAsia"/>
                <w:sz w:val="16"/>
                <w:szCs w:val="16"/>
                <w:highlight w:val="yellow"/>
              </w:rPr>
            </w:pPr>
            <w:r w:rsidRPr="003F4DFF">
              <w:rPr>
                <w:rFonts w:hint="eastAsia"/>
                <w:sz w:val="16"/>
                <w:szCs w:val="16"/>
              </w:rPr>
              <w:t>作業遅延の解消に向けた取組の実施</w:t>
            </w:r>
          </w:p>
        </w:tc>
        <w:tc>
          <w:tcPr>
            <w:tcW w:w="5460" w:type="dxa"/>
          </w:tcPr>
          <w:p w:rsidR="000A34C8" w:rsidRPr="006E6782" w:rsidRDefault="000A34C8" w:rsidP="0005347E">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次の取組を行い、トライ＆エラーで改善していくことで、常態化する作業遅延の解消を図る。</w:t>
            </w:r>
          </w:p>
          <w:p w:rsidR="000A34C8" w:rsidRPr="006E6782" w:rsidRDefault="000A34C8" w:rsidP="00A05663">
            <w:pPr>
              <w:snapToGrid w:val="0"/>
              <w:ind w:leftChars="100" w:left="45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① 運行管理システムを活用しながら、収集コースの設定等の見直しを行う。</w:t>
            </w:r>
          </w:p>
          <w:p w:rsidR="000A34C8" w:rsidRPr="006E6782" w:rsidRDefault="000A34C8" w:rsidP="0005347E">
            <w:pPr>
              <w:snapToGrid w:val="0"/>
              <w:ind w:leftChars="100" w:left="45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② 大阪広域環境施設組合とも連携しながら、搬入先の輻輳緩和に向けた取組を行う。</w:t>
            </w:r>
          </w:p>
          <w:p w:rsidR="000A34C8" w:rsidRPr="00A61AC2" w:rsidRDefault="000A34C8" w:rsidP="0005347E">
            <w:pPr>
              <w:snapToGrid w:val="0"/>
              <w:ind w:leftChars="100" w:left="45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③ 各環境事業センターの所管行政区にこだわらない、輸送効率を最優先した作業行程の見直しを行う。</w:t>
            </w:r>
          </w:p>
        </w:tc>
        <w:tc>
          <w:tcPr>
            <w:tcW w:w="5460" w:type="dxa"/>
          </w:tcPr>
          <w:p w:rsidR="000A34C8" w:rsidRDefault="000A34C8" w:rsidP="0005347E">
            <w:pPr>
              <w:snapToGrid w:val="0"/>
              <w:ind w:left="240" w:hangingChars="150" w:hanging="240"/>
              <w:rPr>
                <w:rFonts w:asciiTheme="minorEastAsia" w:hAnsiTheme="minorEastAsia"/>
                <w:color w:val="000000" w:themeColor="text1"/>
                <w:sz w:val="16"/>
                <w:szCs w:val="16"/>
              </w:rPr>
            </w:pPr>
            <w:r w:rsidRPr="00852497">
              <w:rPr>
                <w:rFonts w:asciiTheme="minorEastAsia" w:hAnsiTheme="minorEastAsia" w:hint="eastAsia"/>
                <w:color w:val="000000" w:themeColor="text1"/>
                <w:sz w:val="16"/>
                <w:szCs w:val="16"/>
              </w:rPr>
              <w:t>〇</w:t>
            </w:r>
            <w:r w:rsidR="0005347E">
              <w:rPr>
                <w:rFonts w:asciiTheme="minorEastAsia" w:hAnsiTheme="minorEastAsia" w:hint="eastAsia"/>
                <w:color w:val="000000" w:themeColor="text1"/>
                <w:sz w:val="16"/>
                <w:szCs w:val="16"/>
              </w:rPr>
              <w:t xml:space="preserve"> </w:t>
            </w:r>
            <w:r w:rsidRPr="006E6782">
              <w:rPr>
                <w:rFonts w:asciiTheme="minorEastAsia" w:hAnsiTheme="minorEastAsia" w:hint="eastAsia"/>
                <w:color w:val="000000" w:themeColor="text1"/>
                <w:sz w:val="16"/>
                <w:szCs w:val="16"/>
              </w:rPr>
              <w:t>小型車（２トン車）が、勤務時間を超えて帰庫する全車両に対する割合について、進捗管理を行いながら、次のとおり削減する。</w:t>
            </w:r>
          </w:p>
          <w:p w:rsidR="00FE60D7" w:rsidRDefault="000A34C8" w:rsidP="00FE60D7">
            <w:pPr>
              <w:snapToGrid w:val="0"/>
              <w:ind w:firstLineChars="150" w:firstLine="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2020(令和２)</w:t>
            </w:r>
            <w:r w:rsidRPr="00A95F63">
              <w:rPr>
                <w:rFonts w:asciiTheme="minorEastAsia" w:hAnsiTheme="minorEastAsia" w:hint="eastAsia"/>
                <w:color w:val="000000" w:themeColor="text1"/>
                <w:sz w:val="16"/>
                <w:szCs w:val="16"/>
              </w:rPr>
              <w:t>年度</w:t>
            </w:r>
            <w:r>
              <w:rPr>
                <w:rFonts w:asciiTheme="minorEastAsia" w:hAnsiTheme="minorEastAsia" w:hint="eastAsia"/>
                <w:color w:val="000000" w:themeColor="text1"/>
                <w:sz w:val="16"/>
                <w:szCs w:val="16"/>
              </w:rPr>
              <w:t xml:space="preserve">　　▲５％　 （2019</w:t>
            </w:r>
            <w:r>
              <w:rPr>
                <w:rFonts w:asciiTheme="minorEastAsia" w:hAnsiTheme="minorEastAsia"/>
                <w:color w:val="000000" w:themeColor="text1"/>
                <w:sz w:val="16"/>
                <w:szCs w:val="16"/>
              </w:rPr>
              <w:t>(</w:t>
            </w:r>
            <w:r>
              <w:rPr>
                <w:rFonts w:asciiTheme="minorEastAsia" w:hAnsiTheme="minorEastAsia" w:hint="eastAsia"/>
                <w:color w:val="000000" w:themeColor="text1"/>
                <w:sz w:val="16"/>
                <w:szCs w:val="16"/>
              </w:rPr>
              <w:t>令和元)年度比）</w:t>
            </w:r>
          </w:p>
          <w:p w:rsidR="00FE60D7" w:rsidRDefault="000A34C8" w:rsidP="00FE60D7">
            <w:pPr>
              <w:snapToGrid w:val="0"/>
              <w:ind w:firstLineChars="150" w:firstLine="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2021(令和３)</w:t>
            </w:r>
            <w:r w:rsidRPr="00A95F63">
              <w:rPr>
                <w:rFonts w:asciiTheme="minorEastAsia" w:hAnsiTheme="minorEastAsia" w:hint="eastAsia"/>
                <w:color w:val="000000" w:themeColor="text1"/>
                <w:sz w:val="16"/>
                <w:szCs w:val="16"/>
              </w:rPr>
              <w:t>年度</w:t>
            </w:r>
            <w:r>
              <w:rPr>
                <w:rFonts w:asciiTheme="minorEastAsia" w:hAnsiTheme="minorEastAsia" w:hint="eastAsia"/>
                <w:color w:val="000000" w:themeColor="text1"/>
                <w:sz w:val="16"/>
                <w:szCs w:val="16"/>
              </w:rPr>
              <w:t xml:space="preserve">　　▲７.５％（2019</w:t>
            </w:r>
            <w:r>
              <w:rPr>
                <w:rFonts w:asciiTheme="minorEastAsia" w:hAnsiTheme="minorEastAsia"/>
                <w:color w:val="000000" w:themeColor="text1"/>
                <w:sz w:val="16"/>
                <w:szCs w:val="16"/>
              </w:rPr>
              <w:t>(</w:t>
            </w:r>
            <w:r>
              <w:rPr>
                <w:rFonts w:asciiTheme="minorEastAsia" w:hAnsiTheme="minorEastAsia" w:hint="eastAsia"/>
                <w:color w:val="000000" w:themeColor="text1"/>
                <w:sz w:val="16"/>
                <w:szCs w:val="16"/>
              </w:rPr>
              <w:t>令和元)年度比）</w:t>
            </w:r>
          </w:p>
          <w:p w:rsidR="00FE60D7" w:rsidRDefault="000A34C8" w:rsidP="00FE60D7">
            <w:pPr>
              <w:snapToGrid w:val="0"/>
              <w:ind w:firstLineChars="150" w:firstLine="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2022(令和４)</w:t>
            </w:r>
            <w:r w:rsidRPr="00A95F63">
              <w:rPr>
                <w:rFonts w:asciiTheme="minorEastAsia" w:hAnsiTheme="minorEastAsia" w:hint="eastAsia"/>
                <w:color w:val="000000" w:themeColor="text1"/>
                <w:sz w:val="16"/>
                <w:szCs w:val="16"/>
              </w:rPr>
              <w:t>年度</w:t>
            </w:r>
            <w:r>
              <w:rPr>
                <w:rFonts w:asciiTheme="minorEastAsia" w:hAnsiTheme="minorEastAsia" w:hint="eastAsia"/>
                <w:color w:val="000000" w:themeColor="text1"/>
                <w:sz w:val="16"/>
                <w:szCs w:val="16"/>
              </w:rPr>
              <w:t xml:space="preserve">　　▲１０％ （2019</w:t>
            </w:r>
            <w:r>
              <w:rPr>
                <w:rFonts w:asciiTheme="minorEastAsia" w:hAnsiTheme="minorEastAsia"/>
                <w:color w:val="000000" w:themeColor="text1"/>
                <w:sz w:val="16"/>
                <w:szCs w:val="16"/>
              </w:rPr>
              <w:t>(</w:t>
            </w:r>
            <w:r>
              <w:rPr>
                <w:rFonts w:asciiTheme="minorEastAsia" w:hAnsiTheme="minorEastAsia" w:hint="eastAsia"/>
                <w:color w:val="000000" w:themeColor="text1"/>
                <w:sz w:val="16"/>
                <w:szCs w:val="16"/>
              </w:rPr>
              <w:t>令和元)年度比）</w:t>
            </w:r>
          </w:p>
          <w:p w:rsidR="00FE60D7" w:rsidRDefault="000A34C8" w:rsidP="00FE60D7">
            <w:pPr>
              <w:snapToGrid w:val="0"/>
              <w:ind w:firstLineChars="150" w:firstLine="240"/>
              <w:rPr>
                <w:rFonts w:asciiTheme="minorEastAsia" w:hAnsiTheme="minorEastAsia"/>
                <w:color w:val="000000" w:themeColor="text1"/>
                <w:sz w:val="16"/>
                <w:szCs w:val="16"/>
              </w:rPr>
            </w:pPr>
            <w:r w:rsidRPr="00344C9B">
              <w:rPr>
                <w:rFonts w:asciiTheme="minorEastAsia" w:hAnsiTheme="minorEastAsia" w:hint="eastAsia"/>
                <w:color w:val="000000" w:themeColor="text1"/>
                <w:sz w:val="16"/>
                <w:szCs w:val="16"/>
              </w:rPr>
              <w:t>※</w:t>
            </w:r>
            <w:r w:rsidRPr="006E6782">
              <w:rPr>
                <w:rFonts w:asciiTheme="minorEastAsia" w:hAnsiTheme="minorEastAsia" w:hint="eastAsia"/>
                <w:color w:val="000000" w:themeColor="text1"/>
                <w:sz w:val="16"/>
                <w:szCs w:val="16"/>
              </w:rPr>
              <w:t>小型車（２トン車）が勤務時間を超えて帰庫する全車両に対する割合</w:t>
            </w:r>
          </w:p>
          <w:p w:rsidR="000A34C8" w:rsidRPr="00FE60D7" w:rsidRDefault="000A34C8" w:rsidP="00FE60D7">
            <w:pPr>
              <w:snapToGrid w:val="0"/>
              <w:ind w:firstLineChars="250" w:firstLine="40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（2019(令和元)年度７～９月（平均）)：14.2％</w:t>
            </w:r>
          </w:p>
        </w:tc>
        <w:tc>
          <w:tcPr>
            <w:tcW w:w="7137" w:type="dxa"/>
            <w:tcBorders>
              <w:right w:val="single" w:sz="4" w:space="0" w:color="auto"/>
            </w:tcBorders>
          </w:tcPr>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更新車両の大型化により、作業の効率化を図った。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一部の環境事業センターにおいて、大幅な作業計画（収集コース等）の見直しを図った。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勤務時間を超えて帰庫する小型車（２トン車）の割合を削減した。</w:t>
            </w:r>
          </w:p>
          <w:p w:rsidR="00EF6290" w:rsidRPr="003254D7" w:rsidRDefault="003254D7" w:rsidP="003254D7">
            <w:pPr>
              <w:snapToGrid w:val="0"/>
              <w:ind w:left="240" w:hangingChars="150" w:hanging="240"/>
              <w:rPr>
                <w:rFonts w:asciiTheme="minorEastAsia" w:hAnsiTheme="minorEastAsia"/>
                <w:color w:val="000000" w:themeColor="text1"/>
                <w:sz w:val="16"/>
                <w:szCs w:val="16"/>
              </w:rPr>
            </w:pPr>
            <w:r w:rsidRPr="003254D7">
              <w:rPr>
                <w:rFonts w:asciiTheme="minorEastAsia" w:hAnsiTheme="minorEastAsia" w:hint="eastAsia"/>
                <w:color w:val="000000" w:themeColor="text1"/>
                <w:sz w:val="16"/>
                <w:szCs w:val="16"/>
              </w:rPr>
              <w:t xml:space="preserve">　 令和２年度　▲8.5％（令和元年度比）</w:t>
            </w:r>
          </w:p>
        </w:tc>
      </w:tr>
      <w:tr w:rsidR="007D6731" w:rsidRPr="00DA5A46" w:rsidTr="00A05663">
        <w:trPr>
          <w:trHeight w:val="693"/>
          <w:jc w:val="center"/>
        </w:trPr>
        <w:tc>
          <w:tcPr>
            <w:tcW w:w="454" w:type="dxa"/>
            <w:vMerge w:val="restart"/>
            <w:tcBorders>
              <w:top w:val="single" w:sz="4" w:space="0" w:color="auto"/>
              <w:left w:val="single" w:sz="4" w:space="0" w:color="auto"/>
              <w:right w:val="single" w:sz="8" w:space="0" w:color="auto"/>
            </w:tcBorders>
            <w:shd w:val="clear" w:color="auto" w:fill="323E4F" w:themeFill="text2" w:themeFillShade="BF"/>
            <w:textDirection w:val="tbRlV"/>
            <w:vAlign w:val="center"/>
          </w:tcPr>
          <w:p w:rsidR="007D6731" w:rsidRPr="00DA5A46" w:rsidRDefault="007D6731" w:rsidP="009C59FD">
            <w:pPr>
              <w:snapToGrid w:val="0"/>
              <w:spacing w:line="240" w:lineRule="exact"/>
              <w:ind w:left="113" w:right="113"/>
              <w:jc w:val="center"/>
              <w:rPr>
                <w:rFonts w:asciiTheme="minorEastAsia" w:hAnsiTheme="minorEastAsia"/>
                <w:sz w:val="16"/>
                <w:szCs w:val="16"/>
              </w:rPr>
            </w:pPr>
            <w:r>
              <w:rPr>
                <w:rFonts w:asciiTheme="minorEastAsia" w:hAnsiTheme="minorEastAsia" w:hint="eastAsia"/>
                <w:sz w:val="16"/>
                <w:szCs w:val="16"/>
              </w:rPr>
              <w:t>２　市民サービスの向上</w:t>
            </w:r>
          </w:p>
        </w:tc>
        <w:tc>
          <w:tcPr>
            <w:tcW w:w="436" w:type="dxa"/>
            <w:tcBorders>
              <w:left w:val="single" w:sz="8" w:space="0" w:color="auto"/>
            </w:tcBorders>
            <w:vAlign w:val="center"/>
          </w:tcPr>
          <w:p w:rsidR="007D6731" w:rsidRPr="00154D22" w:rsidRDefault="007D6731"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６</w:t>
            </w:r>
          </w:p>
        </w:tc>
        <w:tc>
          <w:tcPr>
            <w:tcW w:w="2644" w:type="dxa"/>
            <w:vAlign w:val="center"/>
          </w:tcPr>
          <w:p w:rsidR="007D6731" w:rsidRPr="00154D22" w:rsidRDefault="007D6731" w:rsidP="00154D22">
            <w:pPr>
              <w:snapToGrid w:val="0"/>
              <w:spacing w:line="180" w:lineRule="exact"/>
              <w:rPr>
                <w:rFonts w:asciiTheme="minorEastAsia" w:hAnsiTheme="minorEastAsia"/>
                <w:sz w:val="16"/>
                <w:szCs w:val="16"/>
                <w:highlight w:val="yellow"/>
              </w:rPr>
            </w:pPr>
            <w:r w:rsidRPr="003F4DFF">
              <w:rPr>
                <w:rFonts w:hint="eastAsia"/>
                <w:sz w:val="16"/>
                <w:szCs w:val="16"/>
              </w:rPr>
              <w:t>普通ごみ午前収集の試行実施</w:t>
            </w:r>
          </w:p>
        </w:tc>
        <w:tc>
          <w:tcPr>
            <w:tcW w:w="5460" w:type="dxa"/>
          </w:tcPr>
          <w:p w:rsidR="007D6731" w:rsidRPr="00683CE8" w:rsidRDefault="007D6731" w:rsidP="0005347E">
            <w:pPr>
              <w:snapToGrid w:val="0"/>
              <w:spacing w:line="180" w:lineRule="exact"/>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午前中に収集するエリアを段階的に拡大しながら、一部の環境事業センターで試行実施することとし、その課題を検証しながら、ごみ減量の進展も見つつ、市域全域に拡大していくことをめざす。</w:t>
            </w:r>
          </w:p>
        </w:tc>
        <w:tc>
          <w:tcPr>
            <w:tcW w:w="5460" w:type="dxa"/>
          </w:tcPr>
          <w:p w:rsidR="007D6731" w:rsidRPr="006E6782" w:rsidRDefault="007D6731" w:rsidP="006E6782">
            <w:pPr>
              <w:snapToGrid w:val="0"/>
              <w:ind w:left="160" w:hangingChars="100" w:hanging="16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① 課題を検証するため、２環境事業センターにおいて試行実施する。</w:t>
            </w:r>
          </w:p>
          <w:p w:rsidR="007D6731" w:rsidRPr="00683CE8" w:rsidRDefault="007D6731" w:rsidP="0005347E">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② 普通ごみの午前収集エリアを、現在の約45％から55％以上に、段階的に拡大する。</w:t>
            </w:r>
          </w:p>
        </w:tc>
        <w:tc>
          <w:tcPr>
            <w:tcW w:w="7137" w:type="dxa"/>
            <w:tcBorders>
              <w:right w:val="single" w:sz="4" w:space="0" w:color="auto"/>
            </w:tcBorders>
          </w:tcPr>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令和２年４月から中部環境事業センター出張所の所管地域（中央区・浪速区）において、令和２年10 月から城北環境事業センターの所管地域（城東区・鶴見区・旭区）の一部において、普通ごみ午前収集を試行的に実施した。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普通ごみ収集を午前中に収集し、普通ごみ以外を午後から収集する方法についての課題を抽出した。（特に資源ごみ、容器包装プラスチックの中継地・施設の受入能力）</w:t>
            </w:r>
          </w:p>
          <w:p w:rsidR="007D6731"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普通ごみの午前収集地域が49％まで拡大した。</w:t>
            </w:r>
          </w:p>
        </w:tc>
      </w:tr>
      <w:tr w:rsidR="007D6731" w:rsidRPr="003254D7" w:rsidTr="00A05663">
        <w:trPr>
          <w:trHeight w:val="986"/>
          <w:jc w:val="center"/>
        </w:trPr>
        <w:tc>
          <w:tcPr>
            <w:tcW w:w="454" w:type="dxa"/>
            <w:vMerge/>
            <w:tcBorders>
              <w:left w:val="single" w:sz="4" w:space="0" w:color="auto"/>
              <w:right w:val="single" w:sz="8" w:space="0" w:color="auto"/>
            </w:tcBorders>
            <w:shd w:val="clear" w:color="auto" w:fill="323E4F" w:themeFill="text2" w:themeFillShade="BF"/>
            <w:vAlign w:val="center"/>
          </w:tcPr>
          <w:p w:rsidR="007D6731" w:rsidRPr="00DA5A46" w:rsidRDefault="007D6731" w:rsidP="0030779A">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7D6731" w:rsidRPr="00154D22" w:rsidRDefault="007D6731"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７</w:t>
            </w:r>
          </w:p>
        </w:tc>
        <w:tc>
          <w:tcPr>
            <w:tcW w:w="2644" w:type="dxa"/>
            <w:vAlign w:val="center"/>
          </w:tcPr>
          <w:p w:rsidR="007D6731" w:rsidRPr="00154D22" w:rsidRDefault="007D6731" w:rsidP="00154D22">
            <w:pPr>
              <w:snapToGrid w:val="0"/>
              <w:spacing w:line="180" w:lineRule="exact"/>
              <w:rPr>
                <w:rFonts w:asciiTheme="minorEastAsia" w:hAnsiTheme="minorEastAsia"/>
                <w:sz w:val="16"/>
                <w:szCs w:val="16"/>
                <w:highlight w:val="yellow"/>
              </w:rPr>
            </w:pPr>
            <w:r w:rsidRPr="003F4DFF">
              <w:rPr>
                <w:rFonts w:hint="eastAsia"/>
                <w:sz w:val="16"/>
                <w:szCs w:val="16"/>
              </w:rPr>
              <w:t>普通ごみ午前収集拡大のための取組</w:t>
            </w:r>
          </w:p>
        </w:tc>
        <w:tc>
          <w:tcPr>
            <w:tcW w:w="5460" w:type="dxa"/>
          </w:tcPr>
          <w:p w:rsidR="007D6731" w:rsidRPr="006E6782" w:rsidRDefault="007D6731" w:rsidP="0005347E">
            <w:pPr>
              <w:snapToGrid w:val="0"/>
              <w:spacing w:line="180" w:lineRule="exact"/>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大阪広域環境施設組合とも連携しながら、処理施設（工場・中継地）の輻輳緩和など、更なる輸送効率の改善に向けて、中継作業の拡大や差替作業等の取組を行う。</w:t>
            </w:r>
          </w:p>
          <w:p w:rsidR="007D6731" w:rsidRPr="00683CE8" w:rsidRDefault="007D6731" w:rsidP="0005347E">
            <w:pPr>
              <w:snapToGrid w:val="0"/>
              <w:spacing w:line="180" w:lineRule="exact"/>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職員の勤務時間の割り付けなど、柔軟な勤務態様の検討を行い、関係先とも調整していく。</w:t>
            </w:r>
          </w:p>
        </w:tc>
        <w:tc>
          <w:tcPr>
            <w:tcW w:w="5460" w:type="dxa"/>
          </w:tcPr>
          <w:p w:rsidR="007D6731" w:rsidRPr="006E6782" w:rsidRDefault="007D6731" w:rsidP="0005347E">
            <w:pPr>
              <w:snapToGrid w:val="0"/>
              <w:spacing w:line="180" w:lineRule="exact"/>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① 隣接する環境事業センター間での中継作業の実施、未利用地の活用や軽四輪車にとどまらない、小型プレスダンプ車の中継作業も視野に、更なる中継作業の拡大手法を検討し、実施する。</w:t>
            </w:r>
          </w:p>
          <w:p w:rsidR="007D6731" w:rsidRPr="00683CE8" w:rsidRDefault="007D6731" w:rsidP="0005347E">
            <w:pPr>
              <w:snapToGrid w:val="0"/>
              <w:spacing w:line="180" w:lineRule="exact"/>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② 運行管理システムを活用しながら、午前の収集作業における差替作業（車両の乗換）を実施する。</w:t>
            </w:r>
          </w:p>
        </w:tc>
        <w:tc>
          <w:tcPr>
            <w:tcW w:w="7137" w:type="dxa"/>
            <w:tcBorders>
              <w:right w:val="single" w:sz="4" w:space="0" w:color="auto"/>
            </w:tcBorders>
          </w:tcPr>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令和２年４月から、中部環境事業センター出張所及び城北環境事業センターの試行結果を踏まえて、普通ごみ午前収集拡大の手法について検討した。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普通ごみを午前中に収集し、普通ごみ以外を午後から収集する方法については、特に資源ごみ、容器包装プラスチックの中継地・施設の受入能力に問題があり、大阪市全域を一斉に変更することは、現時点では困難との結論に至った。</w:t>
            </w:r>
          </w:p>
          <w:p w:rsidR="00CF332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職員の勤務時間の変更による作業工程の見直しによる手法についても検討した。</w:t>
            </w:r>
          </w:p>
        </w:tc>
      </w:tr>
      <w:tr w:rsidR="007D6731" w:rsidRPr="00DA5A46" w:rsidTr="00A05663">
        <w:trPr>
          <w:trHeight w:val="859"/>
          <w:jc w:val="center"/>
        </w:trPr>
        <w:tc>
          <w:tcPr>
            <w:tcW w:w="454" w:type="dxa"/>
            <w:vMerge/>
            <w:tcBorders>
              <w:left w:val="single" w:sz="4" w:space="0" w:color="auto"/>
              <w:right w:val="single" w:sz="8" w:space="0" w:color="auto"/>
            </w:tcBorders>
            <w:shd w:val="clear" w:color="auto" w:fill="323E4F" w:themeFill="text2" w:themeFillShade="BF"/>
            <w:vAlign w:val="center"/>
          </w:tcPr>
          <w:p w:rsidR="007D6731" w:rsidRPr="00DA5A46" w:rsidRDefault="007D6731" w:rsidP="00A211D7">
            <w:pPr>
              <w:snapToGrid w:val="0"/>
              <w:spacing w:line="240" w:lineRule="exact"/>
              <w:jc w:val="center"/>
              <w:rPr>
                <w:rFonts w:asciiTheme="minorEastAsia" w:hAnsiTheme="minorEastAsia"/>
                <w:sz w:val="16"/>
                <w:szCs w:val="16"/>
              </w:rPr>
            </w:pPr>
          </w:p>
        </w:tc>
        <w:tc>
          <w:tcPr>
            <w:tcW w:w="436" w:type="dxa"/>
            <w:tcBorders>
              <w:left w:val="single" w:sz="8" w:space="0" w:color="auto"/>
            </w:tcBorders>
            <w:vAlign w:val="center"/>
          </w:tcPr>
          <w:p w:rsidR="007D6731" w:rsidRPr="00154D22" w:rsidRDefault="007D6731"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８</w:t>
            </w:r>
          </w:p>
        </w:tc>
        <w:tc>
          <w:tcPr>
            <w:tcW w:w="2644" w:type="dxa"/>
            <w:vAlign w:val="center"/>
          </w:tcPr>
          <w:p w:rsidR="007D6731" w:rsidRPr="00154D22" w:rsidRDefault="007D6731" w:rsidP="00154D22">
            <w:pPr>
              <w:snapToGrid w:val="0"/>
              <w:spacing w:line="180" w:lineRule="exact"/>
              <w:rPr>
                <w:rFonts w:asciiTheme="minorEastAsia" w:hAnsiTheme="minorEastAsia"/>
                <w:sz w:val="16"/>
                <w:szCs w:val="16"/>
                <w:highlight w:val="yellow"/>
              </w:rPr>
            </w:pPr>
            <w:r w:rsidRPr="00672C55">
              <w:rPr>
                <w:rFonts w:hint="eastAsia"/>
                <w:sz w:val="16"/>
                <w:szCs w:val="16"/>
              </w:rPr>
              <w:t>家庭系ごみ減量の推進</w:t>
            </w:r>
          </w:p>
        </w:tc>
        <w:tc>
          <w:tcPr>
            <w:tcW w:w="5460" w:type="dxa"/>
          </w:tcPr>
          <w:p w:rsidR="007D6731" w:rsidRPr="006E6782" w:rsidRDefault="007D6731" w:rsidP="0005347E">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古紙・衣類のコミュニティ回収は順次拡大してきているが、その進み具合に行政区間で差があることから、実施団体数拡大に向けて、継続的に働きかけを行うとともに、特に実施が進まない地域に対するその原因に応じた方法を工夫し、拡大推進に繋げる。</w:t>
            </w:r>
          </w:p>
          <w:p w:rsidR="007D6731" w:rsidRPr="006E6782" w:rsidRDefault="007D6731" w:rsidP="0005347E">
            <w:pPr>
              <w:snapToGrid w:val="0"/>
              <w:ind w:left="240" w:hangingChars="150" w:hanging="240"/>
              <w:rPr>
                <w:rFonts w:asciiTheme="minorEastAsia" w:hAnsiTheme="minorEastAsia"/>
                <w:color w:val="000000" w:themeColor="text1"/>
                <w:sz w:val="16"/>
                <w:szCs w:val="16"/>
              </w:rPr>
            </w:pPr>
            <w:r w:rsidRPr="006E6782">
              <w:rPr>
                <w:rFonts w:asciiTheme="minorEastAsia" w:hAnsiTheme="minorEastAsia" w:hint="eastAsia"/>
                <w:color w:val="000000" w:themeColor="text1"/>
                <w:sz w:val="16"/>
                <w:szCs w:val="16"/>
              </w:rPr>
              <w:t>◇ 合わせて、新たなペットボトルリサイクルシステムとして構築したコミュニティ回収についても、実施団体数の拡大をめざす。</w:t>
            </w:r>
          </w:p>
          <w:p w:rsidR="007D6731" w:rsidRPr="00683CE8" w:rsidRDefault="007D6731" w:rsidP="0005347E">
            <w:pPr>
              <w:snapToGrid w:val="0"/>
              <w:ind w:left="240" w:hangingChars="150" w:hanging="240"/>
              <w:rPr>
                <w:rFonts w:asciiTheme="minorEastAsia" w:hAnsiTheme="minorEastAsia"/>
                <w:color w:val="000000" w:themeColor="text1"/>
                <w:sz w:val="16"/>
                <w:szCs w:val="16"/>
                <w:highlight w:val="yellow"/>
              </w:rPr>
            </w:pPr>
            <w:r w:rsidRPr="006E6782">
              <w:rPr>
                <w:rFonts w:asciiTheme="minorEastAsia" w:hAnsiTheme="minorEastAsia" w:hint="eastAsia"/>
                <w:color w:val="000000" w:themeColor="text1"/>
                <w:sz w:val="16"/>
                <w:szCs w:val="16"/>
              </w:rPr>
              <w:t>◇ 食品ロス削減につながる「フードドライブ」について、国や他都市などの動向を見ながら、その仕組みを構築する。</w:t>
            </w:r>
          </w:p>
        </w:tc>
        <w:tc>
          <w:tcPr>
            <w:tcW w:w="5460" w:type="dxa"/>
          </w:tcPr>
          <w:p w:rsidR="007D6731" w:rsidRDefault="007D6731" w:rsidP="00852497">
            <w:pPr>
              <w:snapToGrid w:val="0"/>
              <w:spacing w:line="180" w:lineRule="exact"/>
              <w:ind w:left="160" w:hangingChars="100" w:hanging="160"/>
              <w:rPr>
                <w:rFonts w:asciiTheme="minorEastAsia" w:hAnsiTheme="minorEastAsia"/>
                <w:color w:val="000000" w:themeColor="text1"/>
                <w:sz w:val="16"/>
                <w:szCs w:val="16"/>
              </w:rPr>
            </w:pPr>
            <w:r w:rsidRPr="00852497">
              <w:rPr>
                <w:rFonts w:asciiTheme="minorEastAsia" w:hAnsiTheme="minorEastAsia" w:hint="eastAsia"/>
                <w:color w:val="000000" w:themeColor="text1"/>
                <w:sz w:val="16"/>
                <w:szCs w:val="16"/>
              </w:rPr>
              <w:t xml:space="preserve">① </w:t>
            </w:r>
            <w:r w:rsidRPr="002173DE">
              <w:rPr>
                <w:rFonts w:asciiTheme="minorEastAsia" w:hAnsiTheme="minorEastAsia" w:hint="eastAsia"/>
                <w:color w:val="000000" w:themeColor="text1"/>
                <w:sz w:val="16"/>
                <w:szCs w:val="16"/>
              </w:rPr>
              <w:t>コミュニティ回収の実施団体数を次のとおり拡大する。</w:t>
            </w:r>
          </w:p>
          <w:tbl>
            <w:tblPr>
              <w:tblStyle w:val="a3"/>
              <w:tblW w:w="0" w:type="auto"/>
              <w:tblInd w:w="262" w:type="dxa"/>
              <w:tblLayout w:type="fixed"/>
              <w:tblLook w:val="04A0" w:firstRow="1" w:lastRow="0" w:firstColumn="1" w:lastColumn="0" w:noHBand="0" w:noVBand="1"/>
            </w:tblPr>
            <w:tblGrid>
              <w:gridCol w:w="1271"/>
              <w:gridCol w:w="1280"/>
              <w:gridCol w:w="1276"/>
              <w:gridCol w:w="1276"/>
            </w:tblGrid>
            <w:tr w:rsidR="007D6731" w:rsidTr="003254D7">
              <w:tc>
                <w:tcPr>
                  <w:tcW w:w="1271"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p>
              </w:tc>
              <w:tc>
                <w:tcPr>
                  <w:tcW w:w="1280"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2020</w:t>
                  </w:r>
                  <w:r>
                    <w:rPr>
                      <w:rFonts w:asciiTheme="minorEastAsia" w:hAnsiTheme="minorEastAsia"/>
                      <w:color w:val="000000" w:themeColor="text1"/>
                      <w:sz w:val="16"/>
                      <w:szCs w:val="16"/>
                    </w:rPr>
                    <w:t>(R2)</w:t>
                  </w:r>
                  <w:r>
                    <w:rPr>
                      <w:rFonts w:asciiTheme="minorEastAsia" w:hAnsiTheme="minorEastAsia" w:hint="eastAsia"/>
                      <w:color w:val="000000" w:themeColor="text1"/>
                      <w:sz w:val="16"/>
                      <w:szCs w:val="16"/>
                    </w:rPr>
                    <w:t>年度</w:t>
                  </w:r>
                </w:p>
              </w:tc>
              <w:tc>
                <w:tcPr>
                  <w:tcW w:w="1276"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w:t>
                  </w:r>
                  <w:r>
                    <w:rPr>
                      <w:rFonts w:asciiTheme="minorEastAsia" w:hAnsiTheme="minorEastAsia"/>
                      <w:color w:val="000000" w:themeColor="text1"/>
                      <w:sz w:val="16"/>
                      <w:szCs w:val="16"/>
                    </w:rPr>
                    <w:t>1(R3)</w:t>
                  </w:r>
                  <w:r>
                    <w:rPr>
                      <w:rFonts w:asciiTheme="minorEastAsia" w:hAnsiTheme="minorEastAsia" w:hint="eastAsia"/>
                      <w:color w:val="000000" w:themeColor="text1"/>
                      <w:sz w:val="16"/>
                      <w:szCs w:val="16"/>
                    </w:rPr>
                    <w:t>年度</w:t>
                  </w:r>
                </w:p>
              </w:tc>
              <w:tc>
                <w:tcPr>
                  <w:tcW w:w="1276"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2022</w:t>
                  </w:r>
                  <w:r>
                    <w:rPr>
                      <w:rFonts w:asciiTheme="minorEastAsia" w:hAnsiTheme="minorEastAsia"/>
                      <w:color w:val="000000" w:themeColor="text1"/>
                      <w:sz w:val="16"/>
                      <w:szCs w:val="16"/>
                    </w:rPr>
                    <w:t>(R4)</w:t>
                  </w:r>
                  <w:r>
                    <w:rPr>
                      <w:rFonts w:asciiTheme="minorEastAsia" w:hAnsiTheme="minorEastAsia" w:hint="eastAsia"/>
                      <w:color w:val="000000" w:themeColor="text1"/>
                      <w:sz w:val="16"/>
                      <w:szCs w:val="16"/>
                    </w:rPr>
                    <w:t>年度</w:t>
                  </w:r>
                </w:p>
              </w:tc>
            </w:tr>
            <w:tr w:rsidR="007D6731" w:rsidTr="003254D7">
              <w:tc>
                <w:tcPr>
                  <w:tcW w:w="1271"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古紙・衣類</w:t>
                  </w:r>
                </w:p>
              </w:tc>
              <w:tc>
                <w:tcPr>
                  <w:tcW w:w="1280"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130団体</w:t>
                  </w:r>
                </w:p>
              </w:tc>
              <w:tc>
                <w:tcPr>
                  <w:tcW w:w="1276"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160団体</w:t>
                  </w:r>
                </w:p>
              </w:tc>
              <w:tc>
                <w:tcPr>
                  <w:tcW w:w="1276"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200団体</w:t>
                  </w:r>
                </w:p>
              </w:tc>
            </w:tr>
            <w:tr w:rsidR="007D6731" w:rsidTr="003254D7">
              <w:tc>
                <w:tcPr>
                  <w:tcW w:w="1271"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ペットボトル</w:t>
                  </w:r>
                </w:p>
              </w:tc>
              <w:tc>
                <w:tcPr>
                  <w:tcW w:w="1280"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49団体</w:t>
                  </w:r>
                </w:p>
              </w:tc>
              <w:tc>
                <w:tcPr>
                  <w:tcW w:w="1276"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98団体</w:t>
                  </w:r>
                </w:p>
              </w:tc>
              <w:tc>
                <w:tcPr>
                  <w:tcW w:w="1276" w:type="dxa"/>
                  <w:vAlign w:val="center"/>
                </w:tcPr>
                <w:p w:rsidR="007D6731" w:rsidRDefault="007D6731" w:rsidP="002173DE">
                  <w:pPr>
                    <w:snapToGrid w:val="0"/>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164団体</w:t>
                  </w:r>
                </w:p>
              </w:tc>
            </w:tr>
          </w:tbl>
          <w:p w:rsidR="007D6731" w:rsidRDefault="007D6731" w:rsidP="002173DE">
            <w:pPr>
              <w:snapToGrid w:val="0"/>
              <w:spacing w:line="180" w:lineRule="exact"/>
              <w:rPr>
                <w:rFonts w:asciiTheme="minorEastAsia" w:hAnsiTheme="minorEastAsia"/>
                <w:color w:val="000000" w:themeColor="text1"/>
                <w:sz w:val="16"/>
                <w:szCs w:val="16"/>
              </w:rPr>
            </w:pPr>
          </w:p>
          <w:p w:rsidR="007D6731" w:rsidRPr="00683CE8" w:rsidRDefault="007D6731" w:rsidP="0005347E">
            <w:pPr>
              <w:snapToGrid w:val="0"/>
              <w:spacing w:line="180" w:lineRule="exact"/>
              <w:ind w:left="240" w:hangingChars="150" w:hanging="240"/>
              <w:rPr>
                <w:rFonts w:asciiTheme="minorEastAsia" w:hAnsiTheme="minorEastAsia"/>
                <w:color w:val="000000" w:themeColor="text1"/>
                <w:sz w:val="16"/>
                <w:szCs w:val="16"/>
                <w:highlight w:val="yellow"/>
              </w:rPr>
            </w:pPr>
            <w:r w:rsidRPr="00852497">
              <w:rPr>
                <w:rFonts w:asciiTheme="minorEastAsia" w:hAnsiTheme="minorEastAsia" w:hint="eastAsia"/>
                <w:color w:val="000000" w:themeColor="text1"/>
                <w:sz w:val="16"/>
                <w:szCs w:val="16"/>
              </w:rPr>
              <w:t>②</w:t>
            </w:r>
            <w:r>
              <w:rPr>
                <w:rFonts w:asciiTheme="minorEastAsia" w:hAnsiTheme="minorEastAsia" w:hint="eastAsia"/>
                <w:color w:val="000000" w:themeColor="text1"/>
                <w:sz w:val="16"/>
                <w:szCs w:val="16"/>
              </w:rPr>
              <w:t xml:space="preserve"> </w:t>
            </w:r>
            <w:r w:rsidRPr="002173DE">
              <w:rPr>
                <w:rFonts w:asciiTheme="minorEastAsia" w:hAnsiTheme="minorEastAsia" w:hint="eastAsia"/>
                <w:color w:val="000000" w:themeColor="text1"/>
                <w:sz w:val="16"/>
                <w:szCs w:val="16"/>
              </w:rPr>
              <w:t>食品ロス削減につながる「フードドライブ」について、現在一部地域やイベント等で受付しているが、国の動向を見ながら、全市的に拡大するため、その仕組みを</w:t>
            </w:r>
            <w:r>
              <w:rPr>
                <w:rFonts w:asciiTheme="minorEastAsia" w:hAnsiTheme="minorEastAsia" w:hint="eastAsia"/>
                <w:color w:val="000000" w:themeColor="text1"/>
                <w:sz w:val="16"/>
                <w:szCs w:val="16"/>
              </w:rPr>
              <w:t xml:space="preserve"> </w:t>
            </w:r>
            <w:r w:rsidRPr="002173DE">
              <w:rPr>
                <w:rFonts w:asciiTheme="minorEastAsia" w:hAnsiTheme="minorEastAsia" w:hint="eastAsia"/>
                <w:color w:val="000000" w:themeColor="text1"/>
                <w:sz w:val="16"/>
                <w:szCs w:val="16"/>
              </w:rPr>
              <w:t>検討する。</w:t>
            </w:r>
          </w:p>
        </w:tc>
        <w:tc>
          <w:tcPr>
            <w:tcW w:w="7137" w:type="dxa"/>
            <w:tcBorders>
              <w:right w:val="single" w:sz="4" w:space="0" w:color="auto"/>
            </w:tcBorders>
          </w:tcPr>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新型コロナウイルス感染症拡大の影響により、コミュニティ回収の新規実施に関する説明会等の開催が困難な時期もあったが、地域への働きかけを再開し、実施団体拡大に向けて取組を進めた。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コミュニティ回収事業における市況悪化リスクを低減させるため、収集を担う事業者に対する新たな支援制度の創設に向けて、取組を進めた。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ペットボトル回収・リサイクルシステムの拡大に関する区役所等への協力依頼や地域への働きかけに取り組んだ。</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フードドライブについては、商業施設（１か所）での常設回収と、公共施設でのごみ減量・３Ｒに関する啓発相談コーナーの開催時（定期開催・月１回）に一部区役所で実施した。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コミュニティ回収実施団体数については、古紙・衣類109団体、ペットボトル39団体まで拡大した。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ペットボトル回収・リサイクルシステムについては、49地域で合意形成に至り、事業者による実施に向けた準備（人員・機材等の確保）が整った39地域において開始した。</w:t>
            </w:r>
          </w:p>
          <w:p w:rsidR="00874F8F"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フードドライブの定期開催回数については、30件に増加した。</w:t>
            </w:r>
          </w:p>
        </w:tc>
      </w:tr>
      <w:tr w:rsidR="007D6731" w:rsidRPr="00DA5A46" w:rsidTr="00A05663">
        <w:trPr>
          <w:trHeight w:val="701"/>
          <w:jc w:val="center"/>
        </w:trPr>
        <w:tc>
          <w:tcPr>
            <w:tcW w:w="454" w:type="dxa"/>
            <w:vMerge/>
            <w:tcBorders>
              <w:left w:val="single" w:sz="4" w:space="0" w:color="auto"/>
              <w:right w:val="single" w:sz="8" w:space="0" w:color="auto"/>
            </w:tcBorders>
            <w:shd w:val="clear" w:color="auto" w:fill="323E4F" w:themeFill="text2" w:themeFillShade="BF"/>
            <w:vAlign w:val="center"/>
          </w:tcPr>
          <w:p w:rsidR="007D6731" w:rsidRPr="00DA5A46" w:rsidRDefault="007D6731" w:rsidP="00A211D7">
            <w:pPr>
              <w:snapToGrid w:val="0"/>
              <w:spacing w:line="240" w:lineRule="exact"/>
              <w:jc w:val="center"/>
              <w:rPr>
                <w:rFonts w:asciiTheme="minorEastAsia" w:hAnsiTheme="minorEastAsia"/>
                <w:sz w:val="16"/>
                <w:szCs w:val="16"/>
              </w:rPr>
            </w:pPr>
          </w:p>
        </w:tc>
        <w:tc>
          <w:tcPr>
            <w:tcW w:w="436" w:type="dxa"/>
            <w:tcBorders>
              <w:left w:val="single" w:sz="8" w:space="0" w:color="auto"/>
              <w:bottom w:val="single" w:sz="4" w:space="0" w:color="auto"/>
            </w:tcBorders>
            <w:vAlign w:val="center"/>
          </w:tcPr>
          <w:p w:rsidR="007D6731" w:rsidRPr="00154D22" w:rsidRDefault="007D6731"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９</w:t>
            </w:r>
          </w:p>
        </w:tc>
        <w:tc>
          <w:tcPr>
            <w:tcW w:w="2644" w:type="dxa"/>
            <w:tcBorders>
              <w:bottom w:val="single" w:sz="4" w:space="0" w:color="auto"/>
            </w:tcBorders>
            <w:vAlign w:val="center"/>
          </w:tcPr>
          <w:p w:rsidR="007D6731" w:rsidRPr="00154D22" w:rsidRDefault="007D6731" w:rsidP="00154D22">
            <w:pPr>
              <w:snapToGrid w:val="0"/>
              <w:spacing w:line="180" w:lineRule="exact"/>
              <w:rPr>
                <w:rFonts w:asciiTheme="minorEastAsia" w:hAnsiTheme="minorEastAsia"/>
                <w:sz w:val="16"/>
                <w:szCs w:val="16"/>
                <w:highlight w:val="yellow"/>
              </w:rPr>
            </w:pPr>
            <w:r w:rsidRPr="00672C55">
              <w:rPr>
                <w:rFonts w:hint="eastAsia"/>
                <w:sz w:val="16"/>
                <w:szCs w:val="16"/>
              </w:rPr>
              <w:t>福祉的サービスの拡充</w:t>
            </w:r>
          </w:p>
        </w:tc>
        <w:tc>
          <w:tcPr>
            <w:tcW w:w="5460" w:type="dxa"/>
            <w:tcBorders>
              <w:bottom w:val="single" w:sz="4" w:space="0" w:color="auto"/>
            </w:tcBorders>
          </w:tcPr>
          <w:p w:rsidR="007D6731" w:rsidRPr="00154D22" w:rsidRDefault="007D6731" w:rsidP="0005347E">
            <w:pPr>
              <w:snapToGrid w:val="0"/>
              <w:spacing w:line="180" w:lineRule="exact"/>
              <w:ind w:left="240" w:hangingChars="150" w:hanging="240"/>
              <w:rPr>
                <w:rFonts w:asciiTheme="minorEastAsia" w:hAnsiTheme="minorEastAsia"/>
                <w:sz w:val="16"/>
                <w:szCs w:val="16"/>
                <w:highlight w:val="yellow"/>
              </w:rPr>
            </w:pPr>
            <w:r w:rsidRPr="002173DE">
              <w:rPr>
                <w:rFonts w:asciiTheme="minorEastAsia" w:hAnsiTheme="minorEastAsia" w:hint="eastAsia"/>
                <w:sz w:val="16"/>
                <w:szCs w:val="16"/>
              </w:rPr>
              <w:t>◇ 今後、福祉的サービスの需要がさらに高まることが予想され、市民ニーズに応じた新たなサービスの提供について検討する。</w:t>
            </w:r>
          </w:p>
        </w:tc>
        <w:tc>
          <w:tcPr>
            <w:tcW w:w="5460" w:type="dxa"/>
            <w:tcBorders>
              <w:bottom w:val="single" w:sz="4" w:space="0" w:color="auto"/>
            </w:tcBorders>
          </w:tcPr>
          <w:p w:rsidR="007D6731" w:rsidRPr="00154D22" w:rsidRDefault="007D6731" w:rsidP="0005347E">
            <w:pPr>
              <w:snapToGrid w:val="0"/>
              <w:spacing w:line="180" w:lineRule="exact"/>
              <w:ind w:left="240" w:hangingChars="150" w:hanging="240"/>
              <w:rPr>
                <w:rFonts w:asciiTheme="minorEastAsia" w:hAnsiTheme="minorEastAsia"/>
                <w:sz w:val="16"/>
                <w:szCs w:val="16"/>
                <w:highlight w:val="yellow"/>
              </w:rPr>
            </w:pPr>
            <w:r w:rsidRPr="002173DE">
              <w:rPr>
                <w:rFonts w:asciiTheme="minorEastAsia" w:hAnsiTheme="minorEastAsia" w:hint="eastAsia"/>
                <w:sz w:val="16"/>
                <w:szCs w:val="16"/>
              </w:rPr>
              <w:t>〇 ふれあい収集を通じて実施できる新たな付加サービスについて検討するとともに、特に粗大ごみのふれあい収集について、その需要に応じた柔軟な仕組みづくりを行う。</w:t>
            </w:r>
          </w:p>
        </w:tc>
        <w:tc>
          <w:tcPr>
            <w:tcW w:w="7137" w:type="dxa"/>
            <w:tcBorders>
              <w:bottom w:val="single" w:sz="4" w:space="0" w:color="auto"/>
              <w:right w:val="single" w:sz="4" w:space="0" w:color="auto"/>
            </w:tcBorders>
          </w:tcPr>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環境事業センター間で差が生じていた粗大ごみのふれあい収集の対応件数をルール化し、整理を図った。</w:t>
            </w:r>
          </w:p>
          <w:p w:rsidR="007F1843"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センター間で差が生じている粗大ごみのふれあい収集の受付から収集までの期間の平準化、対応件数の増加をめざして、令和３年度からの収集体制の整備を図った。</w:t>
            </w:r>
          </w:p>
        </w:tc>
      </w:tr>
      <w:tr w:rsidR="007D6731" w:rsidRPr="00DA5A46" w:rsidTr="00A05663">
        <w:trPr>
          <w:trHeight w:val="1264"/>
          <w:jc w:val="center"/>
        </w:trPr>
        <w:tc>
          <w:tcPr>
            <w:tcW w:w="454" w:type="dxa"/>
            <w:vMerge/>
            <w:tcBorders>
              <w:left w:val="single" w:sz="4" w:space="0" w:color="auto"/>
              <w:right w:val="single" w:sz="8" w:space="0" w:color="auto"/>
            </w:tcBorders>
            <w:shd w:val="clear" w:color="auto" w:fill="323E4F" w:themeFill="text2" w:themeFillShade="BF"/>
            <w:vAlign w:val="center"/>
          </w:tcPr>
          <w:p w:rsidR="007D6731" w:rsidRPr="00DA5A46" w:rsidRDefault="007D6731" w:rsidP="00A211D7">
            <w:pPr>
              <w:snapToGrid w:val="0"/>
              <w:spacing w:line="240" w:lineRule="exact"/>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vAlign w:val="center"/>
          </w:tcPr>
          <w:p w:rsidR="007D6731" w:rsidRPr="00154D22" w:rsidRDefault="007D6731"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10</w:t>
            </w:r>
          </w:p>
        </w:tc>
        <w:tc>
          <w:tcPr>
            <w:tcW w:w="2644" w:type="dxa"/>
            <w:tcBorders>
              <w:top w:val="single" w:sz="4" w:space="0" w:color="auto"/>
              <w:bottom w:val="single" w:sz="4" w:space="0" w:color="auto"/>
            </w:tcBorders>
            <w:vAlign w:val="center"/>
          </w:tcPr>
          <w:p w:rsidR="007D6731" w:rsidRPr="00154D22" w:rsidRDefault="007D6731" w:rsidP="00154D22">
            <w:pPr>
              <w:snapToGrid w:val="0"/>
              <w:spacing w:line="180" w:lineRule="exact"/>
              <w:rPr>
                <w:rFonts w:asciiTheme="minorEastAsia" w:hAnsiTheme="minorEastAsia"/>
                <w:sz w:val="16"/>
                <w:szCs w:val="16"/>
                <w:highlight w:val="yellow"/>
              </w:rPr>
            </w:pPr>
            <w:r w:rsidRPr="00672C55">
              <w:rPr>
                <w:rFonts w:hint="eastAsia"/>
                <w:sz w:val="16"/>
                <w:szCs w:val="16"/>
              </w:rPr>
              <w:t>まち美化の推進</w:t>
            </w:r>
          </w:p>
        </w:tc>
        <w:tc>
          <w:tcPr>
            <w:tcW w:w="5460" w:type="dxa"/>
            <w:tcBorders>
              <w:top w:val="single" w:sz="4" w:space="0" w:color="auto"/>
              <w:bottom w:val="single" w:sz="4" w:space="0" w:color="auto"/>
            </w:tcBorders>
          </w:tcPr>
          <w:p w:rsidR="007D6731" w:rsidRPr="002173DE" w:rsidRDefault="007D6731" w:rsidP="0005347E">
            <w:pPr>
              <w:snapToGrid w:val="0"/>
              <w:ind w:left="240" w:hangingChars="150" w:hanging="240"/>
              <w:rPr>
                <w:rFonts w:asciiTheme="minorEastAsia" w:hAnsiTheme="minorEastAsia"/>
                <w:sz w:val="16"/>
                <w:szCs w:val="16"/>
              </w:rPr>
            </w:pPr>
            <w:r w:rsidRPr="002173DE">
              <w:rPr>
                <w:rFonts w:asciiTheme="minorEastAsia" w:hAnsiTheme="minorEastAsia" w:hint="eastAsia"/>
                <w:sz w:val="16"/>
                <w:szCs w:val="16"/>
              </w:rPr>
              <w:t>◇ からすその他の動物に餌を与えた行為後の清掃等を行う等の必要な措置を講じないことに起因する生活環境の悪化防止対策として、2019(令和元)年12月に条例を改正・施行しており、その取組を進めていく。</w:t>
            </w:r>
          </w:p>
          <w:p w:rsidR="007D6731" w:rsidRPr="00154D22" w:rsidRDefault="007D6731" w:rsidP="0005347E">
            <w:pPr>
              <w:snapToGrid w:val="0"/>
              <w:ind w:left="240" w:hangingChars="150" w:hanging="240"/>
              <w:rPr>
                <w:rFonts w:asciiTheme="minorEastAsia" w:hAnsiTheme="minorEastAsia"/>
                <w:sz w:val="16"/>
                <w:szCs w:val="16"/>
                <w:highlight w:val="yellow"/>
              </w:rPr>
            </w:pPr>
            <w:r w:rsidRPr="002173DE">
              <w:rPr>
                <w:rFonts w:asciiTheme="minorEastAsia" w:hAnsiTheme="minorEastAsia" w:hint="eastAsia"/>
                <w:sz w:val="16"/>
                <w:szCs w:val="16"/>
              </w:rPr>
              <w:t>◇ “国際観光都市”を見据えたまちの美化対策を充実する必要があり、また、近年大きな環境問題として取り上げられている「海洋プラスチック問題」にも効果が期待できる、不法投棄・散乱ごみ対策を充実する。</w:t>
            </w:r>
          </w:p>
        </w:tc>
        <w:tc>
          <w:tcPr>
            <w:tcW w:w="5460" w:type="dxa"/>
            <w:tcBorders>
              <w:top w:val="single" w:sz="4" w:space="0" w:color="auto"/>
              <w:bottom w:val="single" w:sz="4" w:space="0" w:color="auto"/>
            </w:tcBorders>
          </w:tcPr>
          <w:p w:rsidR="007D6731" w:rsidRPr="007D6731" w:rsidRDefault="007D6731" w:rsidP="0005347E">
            <w:pPr>
              <w:snapToGrid w:val="0"/>
              <w:ind w:left="240" w:hangingChars="150" w:hanging="240"/>
              <w:rPr>
                <w:rFonts w:asciiTheme="minorEastAsia" w:hAnsiTheme="minorEastAsia"/>
                <w:sz w:val="16"/>
                <w:szCs w:val="16"/>
              </w:rPr>
            </w:pPr>
            <w:r w:rsidRPr="007D6731">
              <w:rPr>
                <w:rFonts w:asciiTheme="minorEastAsia" w:hAnsiTheme="minorEastAsia" w:hint="eastAsia"/>
                <w:sz w:val="16"/>
                <w:szCs w:val="16"/>
              </w:rPr>
              <w:t>〇 「からすその他の動物に餌を与えた行為後の清掃等を行う等の必要な措置を講じないことに起因する生活環境の悪化防止対策」「不法投棄対策」「散乱ごみ対策の拡充」に対応可能な体制を整備する。</w:t>
            </w:r>
          </w:p>
        </w:tc>
        <w:tc>
          <w:tcPr>
            <w:tcW w:w="7137" w:type="dxa"/>
            <w:tcBorders>
              <w:top w:val="single" w:sz="4" w:space="0" w:color="auto"/>
              <w:bottom w:val="single" w:sz="4" w:space="0" w:color="auto"/>
              <w:right w:val="single" w:sz="4" w:space="0" w:color="auto"/>
            </w:tcBorders>
          </w:tcPr>
          <w:p w:rsidR="003254D7" w:rsidRPr="003254D7" w:rsidRDefault="00A05663" w:rsidP="003254D7">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ＪＲ我孫子町駅周辺のはと・からす問題について、令和元年12月に施行した改正条例に基づき、環境局を中心に住吉区役所、健康局、建設局が連携し、餌やり行為の当事者に対して合計37回にわたり改善指導等を実施するほか、住吉区を所管する西南環境事業センターが、「生活環境の清潔が保持されている状況にあるかどうか」、毎日現地確認を実施してきた。</w:t>
            </w:r>
          </w:p>
          <w:p w:rsidR="003254D7" w:rsidRPr="003254D7" w:rsidRDefault="00A05663" w:rsidP="003254D7">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大阪市全域におけるからす被害の多い地域の調査を開始した。</w:t>
            </w:r>
          </w:p>
          <w:p w:rsidR="003254D7" w:rsidRPr="003254D7" w:rsidRDefault="00A05663" w:rsidP="003254D7">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不法投棄のスムーズな対応を行うため、ルールの明文化を図った。</w:t>
            </w:r>
          </w:p>
          <w:p w:rsidR="003254D7" w:rsidRPr="003254D7" w:rsidRDefault="00A05663" w:rsidP="003254D7">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ＪＲ我孫子町駅周辺のはと・からす問題の餌やり行為の当事者から、「８月24日をもって、はと・からすへの餌やりを止める」との文書が環境局に提出され、以降、同人によるはと・からすへの餌やり行為は行われていない。</w:t>
            </w:r>
          </w:p>
          <w:p w:rsidR="007D6731" w:rsidRPr="003254D7" w:rsidRDefault="00A05663" w:rsidP="003254D7">
            <w:pPr>
              <w:snapToGrid w:val="0"/>
              <w:spacing w:line="180" w:lineRule="exact"/>
              <w:ind w:left="240" w:hangingChars="150" w:hanging="240"/>
              <w:rPr>
                <w:rFonts w:asciiTheme="minorEastAsia" w:hAnsiTheme="minorEastAsia"/>
                <w:color w:val="000000" w:themeColor="text1"/>
                <w:sz w:val="16"/>
                <w:szCs w:val="16"/>
                <w:highlight w:val="darkCyan"/>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からす被害にも効果のある、普通ごみの午前収集について、地域拡大に向けた検討を進めた。</w:t>
            </w:r>
          </w:p>
        </w:tc>
      </w:tr>
      <w:tr w:rsidR="007D6731" w:rsidRPr="00DA5A46" w:rsidTr="00A05663">
        <w:trPr>
          <w:trHeight w:val="54"/>
          <w:jc w:val="center"/>
        </w:trPr>
        <w:tc>
          <w:tcPr>
            <w:tcW w:w="454" w:type="dxa"/>
            <w:vMerge/>
            <w:tcBorders>
              <w:left w:val="single" w:sz="4" w:space="0" w:color="auto"/>
              <w:bottom w:val="single" w:sz="4" w:space="0" w:color="auto"/>
              <w:right w:val="single" w:sz="8" w:space="0" w:color="auto"/>
            </w:tcBorders>
            <w:shd w:val="clear" w:color="auto" w:fill="323E4F" w:themeFill="text2" w:themeFillShade="BF"/>
            <w:textDirection w:val="tbRlV"/>
            <w:vAlign w:val="center"/>
          </w:tcPr>
          <w:p w:rsidR="007D6731" w:rsidRPr="00DA5A46" w:rsidRDefault="007D6731" w:rsidP="00A211D7">
            <w:pPr>
              <w:snapToGrid w:val="0"/>
              <w:spacing w:line="240" w:lineRule="exact"/>
              <w:ind w:left="113" w:right="113"/>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vAlign w:val="center"/>
          </w:tcPr>
          <w:p w:rsidR="007D6731" w:rsidRPr="00154D22" w:rsidRDefault="007D6731"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11</w:t>
            </w:r>
          </w:p>
        </w:tc>
        <w:tc>
          <w:tcPr>
            <w:tcW w:w="2644" w:type="dxa"/>
            <w:tcBorders>
              <w:top w:val="single" w:sz="4" w:space="0" w:color="auto"/>
              <w:bottom w:val="single" w:sz="4" w:space="0" w:color="auto"/>
            </w:tcBorders>
            <w:vAlign w:val="center"/>
          </w:tcPr>
          <w:p w:rsidR="007D6731" w:rsidRPr="00154D22" w:rsidRDefault="007D6731" w:rsidP="00154D22">
            <w:pPr>
              <w:snapToGrid w:val="0"/>
              <w:spacing w:line="180" w:lineRule="exact"/>
              <w:rPr>
                <w:rFonts w:asciiTheme="minorEastAsia" w:hAnsiTheme="minorEastAsia"/>
                <w:sz w:val="16"/>
                <w:szCs w:val="16"/>
                <w:highlight w:val="yellow"/>
              </w:rPr>
            </w:pPr>
            <w:r w:rsidRPr="009C59FD">
              <w:rPr>
                <w:rFonts w:hint="eastAsia"/>
                <w:sz w:val="16"/>
                <w:szCs w:val="16"/>
              </w:rPr>
              <w:t>公務上交通事故の削減目標</w:t>
            </w:r>
          </w:p>
        </w:tc>
        <w:tc>
          <w:tcPr>
            <w:tcW w:w="5460" w:type="dxa"/>
            <w:tcBorders>
              <w:top w:val="single" w:sz="4" w:space="0" w:color="auto"/>
              <w:bottom w:val="single" w:sz="4" w:space="0" w:color="auto"/>
            </w:tcBorders>
          </w:tcPr>
          <w:p w:rsidR="007D6731" w:rsidRPr="00683CE8" w:rsidRDefault="007D6731" w:rsidP="00A61AC2">
            <w:pPr>
              <w:snapToGrid w:val="0"/>
              <w:ind w:left="160" w:hangingChars="100" w:hanging="160"/>
              <w:rPr>
                <w:rFonts w:asciiTheme="minorEastAsia" w:hAnsiTheme="minorEastAsia"/>
                <w:color w:val="000000" w:themeColor="text1"/>
                <w:sz w:val="16"/>
                <w:szCs w:val="16"/>
                <w:highlight w:val="yellow"/>
              </w:rPr>
            </w:pPr>
            <w:r w:rsidRPr="00AC6A72">
              <w:rPr>
                <w:rFonts w:asciiTheme="minorEastAsia" w:hAnsiTheme="minorEastAsia" w:hint="eastAsia"/>
                <w:color w:val="000000" w:themeColor="text1"/>
                <w:sz w:val="16"/>
                <w:szCs w:val="16"/>
              </w:rPr>
              <w:t>◇ 公務上交通事故“０”（人身事故の撲滅）をめざし、引き続き取組を進める。</w:t>
            </w:r>
          </w:p>
        </w:tc>
        <w:tc>
          <w:tcPr>
            <w:tcW w:w="5460" w:type="dxa"/>
            <w:tcBorders>
              <w:top w:val="single" w:sz="4" w:space="0" w:color="auto"/>
              <w:bottom w:val="single" w:sz="4" w:space="0" w:color="auto"/>
            </w:tcBorders>
          </w:tcPr>
          <w:p w:rsidR="007D6731" w:rsidRDefault="007D6731" w:rsidP="00450AE9">
            <w:pPr>
              <w:snapToGrid w:val="0"/>
              <w:spacing w:line="180" w:lineRule="exact"/>
              <w:ind w:left="160" w:hangingChars="100" w:hanging="160"/>
              <w:rPr>
                <w:rFonts w:asciiTheme="minorEastAsia" w:hAnsiTheme="minorEastAsia"/>
                <w:color w:val="000000" w:themeColor="text1"/>
                <w:sz w:val="16"/>
                <w:szCs w:val="16"/>
              </w:rPr>
            </w:pPr>
            <w:r w:rsidRPr="00BA70E7">
              <w:rPr>
                <w:rFonts w:asciiTheme="minorEastAsia" w:hAnsiTheme="minorEastAsia" w:hint="eastAsia"/>
                <w:color w:val="000000" w:themeColor="text1"/>
                <w:sz w:val="16"/>
                <w:szCs w:val="16"/>
              </w:rPr>
              <w:t>〇</w:t>
            </w:r>
            <w:r>
              <w:rPr>
                <w:rFonts w:asciiTheme="minorEastAsia" w:hAnsiTheme="minorEastAsia" w:hint="eastAsia"/>
                <w:color w:val="000000" w:themeColor="text1"/>
                <w:sz w:val="16"/>
                <w:szCs w:val="16"/>
              </w:rPr>
              <w:t xml:space="preserve"> </w:t>
            </w:r>
            <w:r w:rsidRPr="00AC6A72">
              <w:rPr>
                <w:rFonts w:asciiTheme="minorEastAsia" w:hAnsiTheme="minorEastAsia" w:hint="eastAsia"/>
                <w:color w:val="000000" w:themeColor="text1"/>
                <w:sz w:val="16"/>
                <w:szCs w:val="16"/>
              </w:rPr>
              <w:t>公務上の交通事故の削減目標を“０”（人身事故の撲滅）をめざす。</w:t>
            </w:r>
          </w:p>
          <w:p w:rsidR="007D6731" w:rsidRPr="009C59FD" w:rsidRDefault="007D6731" w:rsidP="00A95F63">
            <w:pPr>
              <w:snapToGrid w:val="0"/>
              <w:spacing w:line="180" w:lineRule="exact"/>
              <w:rPr>
                <w:rFonts w:asciiTheme="minorEastAsia" w:hAnsiTheme="minorEastAsia"/>
                <w:color w:val="000000" w:themeColor="text1"/>
                <w:sz w:val="16"/>
                <w:szCs w:val="16"/>
              </w:rPr>
            </w:pPr>
            <w:r w:rsidRPr="009C59FD">
              <w:rPr>
                <w:rFonts w:asciiTheme="minorEastAsia" w:hAnsiTheme="minorEastAsia" w:hint="eastAsia"/>
                <w:color w:val="000000" w:themeColor="text1"/>
                <w:sz w:val="16"/>
                <w:szCs w:val="16"/>
              </w:rPr>
              <w:t xml:space="preserve">　</w:t>
            </w:r>
            <w:r w:rsidR="00156D52">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2020(</w:t>
            </w:r>
            <w:r w:rsidRPr="009C59FD">
              <w:rPr>
                <w:rFonts w:asciiTheme="minorEastAsia" w:hAnsiTheme="minorEastAsia" w:hint="eastAsia"/>
                <w:color w:val="000000" w:themeColor="text1"/>
                <w:sz w:val="16"/>
                <w:szCs w:val="16"/>
              </w:rPr>
              <w:t>令和２</w:t>
            </w:r>
            <w:r>
              <w:rPr>
                <w:rFonts w:asciiTheme="minorEastAsia" w:hAnsiTheme="minorEastAsia" w:hint="eastAsia"/>
                <w:color w:val="000000" w:themeColor="text1"/>
                <w:sz w:val="16"/>
                <w:szCs w:val="16"/>
              </w:rPr>
              <w:t>)</w:t>
            </w:r>
            <w:r w:rsidRPr="009C59FD">
              <w:rPr>
                <w:rFonts w:asciiTheme="minorEastAsia" w:hAnsiTheme="minorEastAsia" w:hint="eastAsia"/>
                <w:color w:val="000000" w:themeColor="text1"/>
                <w:sz w:val="16"/>
                <w:szCs w:val="16"/>
              </w:rPr>
              <w:t xml:space="preserve">年度　</w:t>
            </w:r>
            <w:r>
              <w:rPr>
                <w:rFonts w:asciiTheme="minorEastAsia" w:hAnsiTheme="minorEastAsia" w:hint="eastAsia"/>
                <w:color w:val="000000" w:themeColor="text1"/>
                <w:sz w:val="16"/>
                <w:szCs w:val="16"/>
              </w:rPr>
              <w:t xml:space="preserve">　</w:t>
            </w:r>
            <w:r w:rsidRPr="009C59FD">
              <w:rPr>
                <w:rFonts w:asciiTheme="minorEastAsia" w:hAnsiTheme="minorEastAsia" w:hint="eastAsia"/>
                <w:color w:val="000000" w:themeColor="text1"/>
                <w:sz w:val="16"/>
                <w:szCs w:val="16"/>
              </w:rPr>
              <w:t>12件以下（人身事故０）</w:t>
            </w:r>
          </w:p>
          <w:p w:rsidR="007D6731" w:rsidRPr="009C59FD" w:rsidRDefault="007D6731" w:rsidP="00A95F63">
            <w:pPr>
              <w:snapToGrid w:val="0"/>
              <w:spacing w:line="180" w:lineRule="exact"/>
              <w:rPr>
                <w:rFonts w:asciiTheme="minorEastAsia" w:hAnsiTheme="minorEastAsia"/>
                <w:color w:val="000000" w:themeColor="text1"/>
                <w:sz w:val="16"/>
                <w:szCs w:val="16"/>
              </w:rPr>
            </w:pPr>
            <w:r w:rsidRPr="009C59FD">
              <w:rPr>
                <w:rFonts w:asciiTheme="minorEastAsia" w:hAnsiTheme="minorEastAsia" w:hint="eastAsia"/>
                <w:color w:val="000000" w:themeColor="text1"/>
                <w:sz w:val="16"/>
                <w:szCs w:val="16"/>
              </w:rPr>
              <w:t xml:space="preserve">　</w:t>
            </w:r>
            <w:r w:rsidR="00156D52">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2021(</w:t>
            </w:r>
            <w:r w:rsidRPr="009C59FD">
              <w:rPr>
                <w:rFonts w:asciiTheme="minorEastAsia" w:hAnsiTheme="minorEastAsia" w:hint="eastAsia"/>
                <w:color w:val="000000" w:themeColor="text1"/>
                <w:sz w:val="16"/>
                <w:szCs w:val="16"/>
              </w:rPr>
              <w:t>令和３</w:t>
            </w:r>
            <w:r>
              <w:rPr>
                <w:rFonts w:asciiTheme="minorEastAsia" w:hAnsiTheme="minorEastAsia" w:hint="eastAsia"/>
                <w:color w:val="000000" w:themeColor="text1"/>
                <w:sz w:val="16"/>
                <w:szCs w:val="16"/>
              </w:rPr>
              <w:t>)</w:t>
            </w:r>
            <w:r w:rsidRPr="009C59FD">
              <w:rPr>
                <w:rFonts w:asciiTheme="minorEastAsia" w:hAnsiTheme="minorEastAsia" w:hint="eastAsia"/>
                <w:color w:val="000000" w:themeColor="text1"/>
                <w:sz w:val="16"/>
                <w:szCs w:val="16"/>
              </w:rPr>
              <w:t xml:space="preserve">年度　</w:t>
            </w:r>
            <w:r>
              <w:rPr>
                <w:rFonts w:asciiTheme="minorEastAsia" w:hAnsiTheme="minorEastAsia" w:hint="eastAsia"/>
                <w:color w:val="000000" w:themeColor="text1"/>
                <w:sz w:val="16"/>
                <w:szCs w:val="16"/>
              </w:rPr>
              <w:t xml:space="preserve">　６</w:t>
            </w:r>
            <w:r w:rsidRPr="009C59FD">
              <w:rPr>
                <w:rFonts w:asciiTheme="minorEastAsia" w:hAnsiTheme="minorEastAsia" w:hint="eastAsia"/>
                <w:color w:val="000000" w:themeColor="text1"/>
                <w:sz w:val="16"/>
                <w:szCs w:val="16"/>
              </w:rPr>
              <w:t>件以下</w:t>
            </w:r>
            <w:r>
              <w:rPr>
                <w:rFonts w:asciiTheme="minorEastAsia" w:hAnsiTheme="minorEastAsia" w:hint="eastAsia"/>
                <w:color w:val="000000" w:themeColor="text1"/>
                <w:sz w:val="16"/>
                <w:szCs w:val="16"/>
              </w:rPr>
              <w:t xml:space="preserve"> </w:t>
            </w:r>
            <w:r w:rsidRPr="009C59FD">
              <w:rPr>
                <w:rFonts w:asciiTheme="minorEastAsia" w:hAnsiTheme="minorEastAsia" w:hint="eastAsia"/>
                <w:color w:val="000000" w:themeColor="text1"/>
                <w:sz w:val="16"/>
                <w:szCs w:val="16"/>
              </w:rPr>
              <w:t>（人身事故０）</w:t>
            </w:r>
          </w:p>
          <w:p w:rsidR="007D6731" w:rsidRDefault="007D6731" w:rsidP="00A95F63">
            <w:pPr>
              <w:snapToGrid w:val="0"/>
              <w:spacing w:line="180" w:lineRule="exact"/>
              <w:rPr>
                <w:rFonts w:asciiTheme="minorEastAsia" w:hAnsiTheme="minorEastAsia"/>
                <w:color w:val="000000" w:themeColor="text1"/>
                <w:sz w:val="16"/>
                <w:szCs w:val="16"/>
              </w:rPr>
            </w:pPr>
            <w:r w:rsidRPr="009C59FD">
              <w:rPr>
                <w:rFonts w:asciiTheme="minorEastAsia" w:hAnsiTheme="minorEastAsia" w:hint="eastAsia"/>
                <w:color w:val="000000" w:themeColor="text1"/>
                <w:sz w:val="16"/>
                <w:szCs w:val="16"/>
              </w:rPr>
              <w:t xml:space="preserve">　</w:t>
            </w:r>
            <w:r w:rsidR="00156D52">
              <w:rPr>
                <w:rFonts w:asciiTheme="minorEastAsia" w:hAnsiTheme="minorEastAsia" w:hint="eastAsia"/>
                <w:color w:val="000000" w:themeColor="text1"/>
                <w:sz w:val="16"/>
                <w:szCs w:val="16"/>
              </w:rPr>
              <w:t xml:space="preserve"> </w:t>
            </w:r>
            <w:r>
              <w:rPr>
                <w:rFonts w:asciiTheme="minorEastAsia" w:hAnsiTheme="minorEastAsia" w:hint="eastAsia"/>
                <w:color w:val="000000" w:themeColor="text1"/>
                <w:sz w:val="16"/>
                <w:szCs w:val="16"/>
              </w:rPr>
              <w:t>2022(</w:t>
            </w:r>
            <w:r w:rsidRPr="009C59FD">
              <w:rPr>
                <w:rFonts w:asciiTheme="minorEastAsia" w:hAnsiTheme="minorEastAsia" w:hint="eastAsia"/>
                <w:color w:val="000000" w:themeColor="text1"/>
                <w:sz w:val="16"/>
                <w:szCs w:val="16"/>
              </w:rPr>
              <w:t>令和４</w:t>
            </w:r>
            <w:r>
              <w:rPr>
                <w:rFonts w:asciiTheme="minorEastAsia" w:hAnsiTheme="minorEastAsia" w:hint="eastAsia"/>
                <w:color w:val="000000" w:themeColor="text1"/>
                <w:sz w:val="16"/>
                <w:szCs w:val="16"/>
              </w:rPr>
              <w:t>)</w:t>
            </w:r>
            <w:r w:rsidRPr="009C59FD">
              <w:rPr>
                <w:rFonts w:asciiTheme="minorEastAsia" w:hAnsiTheme="minorEastAsia" w:hint="eastAsia"/>
                <w:color w:val="000000" w:themeColor="text1"/>
                <w:sz w:val="16"/>
                <w:szCs w:val="16"/>
              </w:rPr>
              <w:t xml:space="preserve">年度　</w:t>
            </w:r>
            <w:r>
              <w:rPr>
                <w:rFonts w:asciiTheme="minorEastAsia" w:hAnsiTheme="minorEastAsia" w:hint="eastAsia"/>
                <w:color w:val="000000" w:themeColor="text1"/>
                <w:sz w:val="16"/>
                <w:szCs w:val="16"/>
              </w:rPr>
              <w:t xml:space="preserve">　０</w:t>
            </w:r>
            <w:r w:rsidRPr="009C59FD">
              <w:rPr>
                <w:rFonts w:asciiTheme="minorEastAsia" w:hAnsiTheme="minorEastAsia" w:hint="eastAsia"/>
                <w:color w:val="000000" w:themeColor="text1"/>
                <w:sz w:val="16"/>
                <w:szCs w:val="16"/>
              </w:rPr>
              <w:t>件</w:t>
            </w:r>
            <w:r>
              <w:rPr>
                <w:rFonts w:asciiTheme="minorEastAsia" w:hAnsiTheme="minorEastAsia" w:hint="eastAsia"/>
                <w:color w:val="000000" w:themeColor="text1"/>
                <w:sz w:val="16"/>
                <w:szCs w:val="16"/>
              </w:rPr>
              <w:t xml:space="preserve">     </w:t>
            </w:r>
            <w:r w:rsidRPr="009C59FD">
              <w:rPr>
                <w:rFonts w:asciiTheme="minorEastAsia" w:hAnsiTheme="minorEastAsia" w:hint="eastAsia"/>
                <w:color w:val="000000" w:themeColor="text1"/>
                <w:sz w:val="16"/>
                <w:szCs w:val="16"/>
              </w:rPr>
              <w:t>（人身事故０）</w:t>
            </w:r>
          </w:p>
          <w:p w:rsidR="007D6731" w:rsidRPr="00683CE8" w:rsidRDefault="007D6731" w:rsidP="00156D52">
            <w:pPr>
              <w:snapToGrid w:val="0"/>
              <w:spacing w:line="180" w:lineRule="exact"/>
              <w:ind w:firstLineChars="150" w:firstLine="240"/>
              <w:rPr>
                <w:rFonts w:asciiTheme="minorEastAsia" w:hAnsiTheme="minorEastAsia"/>
                <w:color w:val="000000" w:themeColor="text1"/>
                <w:sz w:val="16"/>
                <w:szCs w:val="16"/>
                <w:highlight w:val="yellow"/>
              </w:rPr>
            </w:pPr>
            <w:r w:rsidRPr="0024636E">
              <w:rPr>
                <w:rFonts w:asciiTheme="minorEastAsia" w:hAnsiTheme="minorEastAsia" w:hint="eastAsia"/>
                <w:color w:val="000000" w:themeColor="text1"/>
                <w:sz w:val="16"/>
                <w:szCs w:val="16"/>
              </w:rPr>
              <w:t xml:space="preserve">※ </w:t>
            </w:r>
            <w:r w:rsidRPr="00AC6A72">
              <w:rPr>
                <w:rFonts w:asciiTheme="minorEastAsia" w:hAnsiTheme="minorEastAsia" w:hint="eastAsia"/>
                <w:color w:val="000000" w:themeColor="text1"/>
                <w:sz w:val="16"/>
                <w:szCs w:val="16"/>
              </w:rPr>
              <w:t>2019(令和元)年12月末時点：17件</w:t>
            </w:r>
          </w:p>
        </w:tc>
        <w:tc>
          <w:tcPr>
            <w:tcW w:w="7137" w:type="dxa"/>
            <w:tcBorders>
              <w:top w:val="single" w:sz="4" w:space="0" w:color="auto"/>
              <w:bottom w:val="single" w:sz="4" w:space="0" w:color="auto"/>
              <w:right w:val="single" w:sz="4" w:space="0" w:color="auto"/>
            </w:tcBorders>
          </w:tcPr>
          <w:p w:rsidR="003254D7" w:rsidRPr="003254D7" w:rsidRDefault="00A05663" w:rsidP="003254D7">
            <w:pPr>
              <w:snapToGrid w:val="0"/>
              <w:spacing w:line="18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令和２年５月、各環境事業センターにおいて、改革プラン2.0の周知文とともに、公務上交通事故件“０”（人身事故の撲滅）の目標を掲げるポスターを掲示した。</w:t>
            </w:r>
          </w:p>
          <w:p w:rsidR="003254D7" w:rsidRPr="003254D7" w:rsidRDefault="00A05663" w:rsidP="003254D7">
            <w:pPr>
              <w:snapToGrid w:val="0"/>
              <w:spacing w:line="18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同月、事業部長名による通知「交通事故削減目標の達成に向けて（緊急事態宣言）」を各職員に発出した。</w:t>
            </w:r>
          </w:p>
          <w:p w:rsidR="003254D7" w:rsidRPr="003254D7" w:rsidRDefault="00A05663" w:rsidP="003254D7">
            <w:pPr>
              <w:snapToGrid w:val="0"/>
              <w:spacing w:line="18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その他の各種取組については、「シート№12」に記載</w:t>
            </w:r>
          </w:p>
          <w:p w:rsidR="007D6731" w:rsidRPr="003254D7" w:rsidRDefault="00A05663" w:rsidP="003254D7">
            <w:pPr>
              <w:snapToGrid w:val="0"/>
              <w:spacing w:line="18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上記取組による注意喚起、意識改革を図ったほか、定められた手順の遵守徹底に取り組んだが、令和２年度の目標達成には至らなかった。</w:t>
            </w:r>
          </w:p>
        </w:tc>
      </w:tr>
      <w:tr w:rsidR="007D6731" w:rsidRPr="00DA5A46" w:rsidTr="00A05663">
        <w:trPr>
          <w:trHeight w:val="704"/>
          <w:jc w:val="center"/>
        </w:trPr>
        <w:tc>
          <w:tcPr>
            <w:tcW w:w="454" w:type="dxa"/>
            <w:vMerge w:val="restart"/>
            <w:tcBorders>
              <w:top w:val="single" w:sz="4" w:space="0" w:color="auto"/>
              <w:left w:val="single" w:sz="4" w:space="0" w:color="auto"/>
              <w:right w:val="single" w:sz="8" w:space="0" w:color="auto"/>
            </w:tcBorders>
            <w:shd w:val="clear" w:color="auto" w:fill="323E4F" w:themeFill="text2" w:themeFillShade="BF"/>
            <w:textDirection w:val="tbRlV"/>
            <w:vAlign w:val="center"/>
          </w:tcPr>
          <w:p w:rsidR="007D6731" w:rsidRPr="00DA5A46" w:rsidRDefault="007D6731" w:rsidP="007D6731">
            <w:pPr>
              <w:snapToGrid w:val="0"/>
              <w:spacing w:line="240" w:lineRule="exact"/>
              <w:ind w:left="113" w:right="113"/>
              <w:jc w:val="center"/>
              <w:rPr>
                <w:rFonts w:asciiTheme="minorEastAsia" w:hAnsiTheme="minorEastAsia"/>
                <w:sz w:val="16"/>
                <w:szCs w:val="16"/>
              </w:rPr>
            </w:pPr>
            <w:r>
              <w:rPr>
                <w:rFonts w:asciiTheme="minorEastAsia" w:hAnsiTheme="minorEastAsia" w:hint="eastAsia"/>
                <w:sz w:val="16"/>
                <w:szCs w:val="16"/>
              </w:rPr>
              <w:t>２　市民サービスの向上</w:t>
            </w:r>
          </w:p>
        </w:tc>
        <w:tc>
          <w:tcPr>
            <w:tcW w:w="436" w:type="dxa"/>
            <w:tcBorders>
              <w:top w:val="single" w:sz="4" w:space="0" w:color="auto"/>
              <w:left w:val="single" w:sz="8" w:space="0" w:color="auto"/>
              <w:bottom w:val="single" w:sz="4" w:space="0" w:color="auto"/>
            </w:tcBorders>
            <w:vAlign w:val="center"/>
          </w:tcPr>
          <w:p w:rsidR="007D6731" w:rsidRPr="00154D22" w:rsidRDefault="007D6731"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12</w:t>
            </w:r>
          </w:p>
        </w:tc>
        <w:tc>
          <w:tcPr>
            <w:tcW w:w="2644" w:type="dxa"/>
            <w:tcBorders>
              <w:top w:val="single" w:sz="4" w:space="0" w:color="auto"/>
              <w:bottom w:val="single" w:sz="4" w:space="0" w:color="auto"/>
            </w:tcBorders>
            <w:vAlign w:val="center"/>
          </w:tcPr>
          <w:p w:rsidR="007D6731" w:rsidRPr="00154D22" w:rsidRDefault="007D6731" w:rsidP="00154D22">
            <w:pPr>
              <w:snapToGrid w:val="0"/>
              <w:spacing w:line="180" w:lineRule="exact"/>
              <w:rPr>
                <w:rFonts w:asciiTheme="minorEastAsia" w:hAnsiTheme="minorEastAsia"/>
                <w:sz w:val="16"/>
                <w:szCs w:val="16"/>
                <w:highlight w:val="yellow"/>
              </w:rPr>
            </w:pPr>
            <w:r w:rsidRPr="009C59FD">
              <w:rPr>
                <w:rFonts w:hint="eastAsia"/>
                <w:sz w:val="16"/>
                <w:szCs w:val="16"/>
              </w:rPr>
              <w:t>公務上の交通事故の削減のための取組</w:t>
            </w:r>
          </w:p>
        </w:tc>
        <w:tc>
          <w:tcPr>
            <w:tcW w:w="5460" w:type="dxa"/>
            <w:tcBorders>
              <w:top w:val="single" w:sz="4" w:space="0" w:color="auto"/>
              <w:bottom w:val="single" w:sz="4" w:space="0" w:color="auto"/>
            </w:tcBorders>
          </w:tcPr>
          <w:p w:rsidR="007D6731" w:rsidRPr="00683CE8" w:rsidRDefault="007D6731" w:rsidP="0005347E">
            <w:pPr>
              <w:snapToGrid w:val="0"/>
              <w:ind w:left="240" w:hangingChars="150" w:hanging="24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 改革プランで実施してきた取組を継続し、さらに精度をあげながら、実施していく。</w:t>
            </w:r>
          </w:p>
        </w:tc>
        <w:tc>
          <w:tcPr>
            <w:tcW w:w="5460" w:type="dxa"/>
            <w:tcBorders>
              <w:top w:val="single" w:sz="4" w:space="0" w:color="auto"/>
              <w:bottom w:val="single" w:sz="4" w:space="0" w:color="auto"/>
            </w:tcBorders>
          </w:tcPr>
          <w:p w:rsidR="007D6731" w:rsidRPr="00683CE8" w:rsidRDefault="007D6731" w:rsidP="0005347E">
            <w:pPr>
              <w:snapToGrid w:val="0"/>
              <w:spacing w:line="180" w:lineRule="exact"/>
              <w:ind w:left="240" w:hangingChars="150" w:hanging="240"/>
              <w:rPr>
                <w:rFonts w:asciiTheme="minorEastAsia" w:hAnsiTheme="minorEastAsia"/>
                <w:color w:val="000000" w:themeColor="text1"/>
                <w:sz w:val="16"/>
                <w:szCs w:val="16"/>
                <w:highlight w:val="yellow"/>
              </w:rPr>
            </w:pPr>
            <w:r w:rsidRPr="003028A9">
              <w:rPr>
                <w:rFonts w:asciiTheme="minorEastAsia" w:hAnsiTheme="minorEastAsia" w:hint="eastAsia"/>
                <w:color w:val="000000" w:themeColor="text1"/>
                <w:sz w:val="16"/>
                <w:szCs w:val="16"/>
              </w:rPr>
              <w:t>〇 この間の取組を継続しながら、その手法をさらにブラッシュアップしていくこととし、ルールを守らないことによって生じる交通事故を削減させるため、定められた手順を遵守徹底することで、公務上交通事故の発生件数を削減していく。</w:t>
            </w:r>
          </w:p>
        </w:tc>
        <w:tc>
          <w:tcPr>
            <w:tcW w:w="7137" w:type="dxa"/>
            <w:tcBorders>
              <w:top w:val="single" w:sz="4" w:space="0" w:color="auto"/>
              <w:bottom w:val="single" w:sz="4" w:space="0" w:color="auto"/>
              <w:right w:val="single" w:sz="4" w:space="0" w:color="auto"/>
            </w:tcBorders>
          </w:tcPr>
          <w:p w:rsidR="003254D7" w:rsidRPr="003254D7" w:rsidRDefault="00A05663" w:rsidP="003254D7">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安全運転マニュアルについて、ルールや手順に関する内容を充実させる改訂を行うとともに、改訂マニュアルの説明映像を作成、研修を実施し、遵守徹底を図った。</w:t>
            </w:r>
          </w:p>
          <w:p w:rsidR="003254D7" w:rsidRPr="003254D7" w:rsidRDefault="00A05663" w:rsidP="003254D7">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また、狭隘路通行時の他の通行者への配慮についても説明映像を作成し、研修を実施した。</w:t>
            </w:r>
          </w:p>
          <w:p w:rsidR="003254D7" w:rsidRPr="003254D7" w:rsidRDefault="00A05663" w:rsidP="003254D7">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外部機関による運転研修を本格的に開始し、客観的で公平な指標の導入により、運転従事要件の厳格化を図り、不合格者については、再度、外部機関による運転研修に合格するまでの間、運転業務には従事させず、また、改善しないようであれば登録除外する仕組みを構築した。</w:t>
            </w:r>
          </w:p>
          <w:p w:rsidR="00333AFD" w:rsidRPr="003254D7" w:rsidRDefault="00A05663" w:rsidP="003254D7">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安全運転マニュアルの改訂と遵守徹底、外部機関による運転研修の受講等により公務上交通事故削減に向けて取り組んだが、交通事故の発生件数の削減には至らなかった。</w:t>
            </w:r>
          </w:p>
        </w:tc>
      </w:tr>
      <w:tr w:rsidR="007D6731" w:rsidRPr="00DA5A46" w:rsidTr="00A05663">
        <w:trPr>
          <w:trHeight w:val="292"/>
          <w:jc w:val="center"/>
        </w:trPr>
        <w:tc>
          <w:tcPr>
            <w:tcW w:w="454" w:type="dxa"/>
            <w:vMerge/>
            <w:tcBorders>
              <w:left w:val="single" w:sz="4" w:space="0" w:color="auto"/>
              <w:right w:val="single" w:sz="8" w:space="0" w:color="auto"/>
            </w:tcBorders>
            <w:shd w:val="clear" w:color="auto" w:fill="323E4F" w:themeFill="text2" w:themeFillShade="BF"/>
            <w:vAlign w:val="center"/>
          </w:tcPr>
          <w:p w:rsidR="007D6731" w:rsidRPr="00DA5A46" w:rsidRDefault="007D6731" w:rsidP="00A211D7">
            <w:pPr>
              <w:snapToGrid w:val="0"/>
              <w:spacing w:line="240" w:lineRule="exact"/>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vAlign w:val="center"/>
          </w:tcPr>
          <w:p w:rsidR="007D6731" w:rsidRPr="00154D22" w:rsidRDefault="007D6731"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13</w:t>
            </w:r>
          </w:p>
        </w:tc>
        <w:tc>
          <w:tcPr>
            <w:tcW w:w="2644" w:type="dxa"/>
            <w:tcBorders>
              <w:top w:val="single" w:sz="4" w:space="0" w:color="auto"/>
              <w:bottom w:val="single" w:sz="4" w:space="0" w:color="auto"/>
            </w:tcBorders>
            <w:vAlign w:val="center"/>
          </w:tcPr>
          <w:p w:rsidR="007D6731" w:rsidRPr="00154D22" w:rsidRDefault="007D6731" w:rsidP="00154D22">
            <w:pPr>
              <w:snapToGrid w:val="0"/>
              <w:spacing w:line="180" w:lineRule="exact"/>
              <w:rPr>
                <w:rFonts w:asciiTheme="minorEastAsia" w:hAnsiTheme="minorEastAsia"/>
                <w:sz w:val="16"/>
                <w:szCs w:val="16"/>
                <w:highlight w:val="yellow"/>
              </w:rPr>
            </w:pPr>
            <w:r w:rsidRPr="009C59FD">
              <w:rPr>
                <w:rFonts w:hint="eastAsia"/>
                <w:sz w:val="16"/>
                <w:szCs w:val="16"/>
              </w:rPr>
              <w:t>これまでの教訓を活かした災害への準備</w:t>
            </w:r>
          </w:p>
        </w:tc>
        <w:tc>
          <w:tcPr>
            <w:tcW w:w="5460" w:type="dxa"/>
            <w:tcBorders>
              <w:top w:val="single" w:sz="4" w:space="0" w:color="auto"/>
              <w:bottom w:val="single" w:sz="4" w:space="0" w:color="auto"/>
            </w:tcBorders>
          </w:tcPr>
          <w:p w:rsidR="007D6731" w:rsidRPr="00BA70E7" w:rsidRDefault="007D6731" w:rsidP="00605834">
            <w:pPr>
              <w:snapToGrid w:val="0"/>
              <w:spacing w:line="180" w:lineRule="exact"/>
              <w:ind w:left="240" w:hangingChars="150" w:hanging="24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 大型台風や他都市への災害応援の経験を活かし、激甚化する様々な自然災害への対応を常日頃から検討し、準備を行う。</w:t>
            </w:r>
          </w:p>
          <w:p w:rsidR="007D6731" w:rsidRPr="003028A9" w:rsidRDefault="007D6731" w:rsidP="003028A9">
            <w:pPr>
              <w:snapToGrid w:val="0"/>
              <w:spacing w:line="180" w:lineRule="exact"/>
              <w:ind w:leftChars="100" w:left="21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① 実際に起こったことを想定した避難訓練を実施する。</w:t>
            </w:r>
          </w:p>
          <w:p w:rsidR="007D6731" w:rsidRPr="003028A9" w:rsidRDefault="007D6731" w:rsidP="00605834">
            <w:pPr>
              <w:snapToGrid w:val="0"/>
              <w:spacing w:line="180" w:lineRule="exact"/>
              <w:ind w:leftChars="100" w:left="450" w:hangingChars="150" w:hanging="24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② 地域・区役所との合同防災訓練を実施しながら、そこで得られたアイデアを参考に、逐次業務マニュアル等を見直していく。</w:t>
            </w:r>
          </w:p>
          <w:p w:rsidR="007D6731" w:rsidRPr="003028A9" w:rsidRDefault="007D6731" w:rsidP="00605834">
            <w:pPr>
              <w:snapToGrid w:val="0"/>
              <w:spacing w:line="180" w:lineRule="exact"/>
              <w:ind w:leftChars="100" w:left="530" w:hangingChars="200" w:hanging="32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③ 2018(平成30)年に襲来した台風21号の経験により判明した不足している備品等を買い揃える。</w:t>
            </w:r>
          </w:p>
          <w:p w:rsidR="007D6731" w:rsidRPr="00683CE8" w:rsidRDefault="007D6731" w:rsidP="00605834">
            <w:pPr>
              <w:snapToGrid w:val="0"/>
              <w:spacing w:line="180" w:lineRule="exact"/>
              <w:ind w:leftChars="100" w:left="450" w:hangingChars="150" w:hanging="240"/>
              <w:rPr>
                <w:rFonts w:asciiTheme="minorEastAsia" w:hAnsiTheme="minorEastAsia"/>
                <w:color w:val="000000" w:themeColor="text1"/>
                <w:sz w:val="16"/>
                <w:szCs w:val="16"/>
                <w:highlight w:val="yellow"/>
              </w:rPr>
            </w:pPr>
            <w:r w:rsidRPr="003028A9">
              <w:rPr>
                <w:rFonts w:asciiTheme="minorEastAsia" w:hAnsiTheme="minorEastAsia" w:hint="eastAsia"/>
                <w:color w:val="000000" w:themeColor="text1"/>
                <w:sz w:val="16"/>
                <w:szCs w:val="16"/>
              </w:rPr>
              <w:t>④ 災害時に必要と思われる資格等について、職員に対し業務として取得させるほか、災害時対応を視野に入れた人事配置を検討する。</w:t>
            </w:r>
          </w:p>
        </w:tc>
        <w:tc>
          <w:tcPr>
            <w:tcW w:w="5460" w:type="dxa"/>
            <w:tcBorders>
              <w:top w:val="single" w:sz="4" w:space="0" w:color="auto"/>
              <w:bottom w:val="single" w:sz="4" w:space="0" w:color="auto"/>
            </w:tcBorders>
          </w:tcPr>
          <w:p w:rsidR="007D6731" w:rsidRPr="00683CE8" w:rsidRDefault="007D6731" w:rsidP="00605834">
            <w:pPr>
              <w:snapToGrid w:val="0"/>
              <w:ind w:left="240" w:hangingChars="150" w:hanging="240"/>
              <w:rPr>
                <w:rFonts w:asciiTheme="minorEastAsia" w:hAnsiTheme="minorEastAsia"/>
                <w:color w:val="000000" w:themeColor="text1"/>
                <w:sz w:val="16"/>
                <w:szCs w:val="16"/>
                <w:highlight w:val="yellow"/>
              </w:rPr>
            </w:pPr>
            <w:r w:rsidRPr="003028A9">
              <w:rPr>
                <w:rFonts w:asciiTheme="minorEastAsia" w:hAnsiTheme="minorEastAsia" w:hint="eastAsia"/>
                <w:color w:val="000000" w:themeColor="text1"/>
                <w:sz w:val="16"/>
                <w:szCs w:val="16"/>
              </w:rPr>
              <w:t>○ 市内で発生する様々な自然災害に対し、迅速・柔軟な廃棄物処理対応を実施できる体制の確立をめざす。</w:t>
            </w:r>
          </w:p>
        </w:tc>
        <w:tc>
          <w:tcPr>
            <w:tcW w:w="7137" w:type="dxa"/>
            <w:tcBorders>
              <w:top w:val="single" w:sz="4" w:space="0" w:color="auto"/>
              <w:bottom w:val="single" w:sz="4" w:space="0" w:color="auto"/>
              <w:right w:val="single" w:sz="4" w:space="0" w:color="auto"/>
            </w:tcBorders>
          </w:tcPr>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新型コロナウイルス感染症拡大の影響により、地域イベントの開催が困難であったものの、一部区役所との合同防災訓練が実施できた。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災害時のごみ収集に必要となる備品の棚卸しを行った。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全職員の応急手当講習受講に向けた準備を行った。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区役所との合同防災訓練を９回実施した。</w:t>
            </w:r>
          </w:p>
          <w:p w:rsidR="003254D7"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災害時のごみ収集に必要となる備品等の充実を図った。</w:t>
            </w:r>
          </w:p>
          <w:p w:rsidR="00EC7DD6" w:rsidRPr="003254D7" w:rsidRDefault="00A05663" w:rsidP="003254D7">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003254D7" w:rsidRPr="003254D7">
              <w:rPr>
                <w:rFonts w:asciiTheme="minorEastAsia" w:hAnsiTheme="minorEastAsia" w:hint="eastAsia"/>
                <w:color w:val="000000" w:themeColor="text1"/>
                <w:sz w:val="16"/>
                <w:szCs w:val="16"/>
              </w:rPr>
              <w:t xml:space="preserve"> 「ＡＥＤの使い方」を含む心肺蘇生法を指導する「応急手当普及員」講習への管理監督者の受講を進めた。</w:t>
            </w:r>
          </w:p>
        </w:tc>
      </w:tr>
      <w:tr w:rsidR="007D6731" w:rsidRPr="00DA5A46" w:rsidTr="001261BB">
        <w:trPr>
          <w:trHeight w:val="1457"/>
          <w:jc w:val="center"/>
        </w:trPr>
        <w:tc>
          <w:tcPr>
            <w:tcW w:w="454" w:type="dxa"/>
            <w:vMerge/>
            <w:tcBorders>
              <w:left w:val="single" w:sz="4" w:space="0" w:color="auto"/>
              <w:bottom w:val="single" w:sz="4" w:space="0" w:color="auto"/>
              <w:right w:val="single" w:sz="8" w:space="0" w:color="auto"/>
            </w:tcBorders>
            <w:shd w:val="clear" w:color="auto" w:fill="323E4F" w:themeFill="text2" w:themeFillShade="BF"/>
            <w:vAlign w:val="center"/>
          </w:tcPr>
          <w:p w:rsidR="007D6731" w:rsidRPr="00DA5A46" w:rsidRDefault="007D6731" w:rsidP="00A211D7">
            <w:pPr>
              <w:snapToGrid w:val="0"/>
              <w:spacing w:line="240" w:lineRule="exact"/>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vAlign w:val="center"/>
          </w:tcPr>
          <w:p w:rsidR="007D6731" w:rsidRPr="00154D22" w:rsidRDefault="007D6731"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14</w:t>
            </w:r>
          </w:p>
        </w:tc>
        <w:tc>
          <w:tcPr>
            <w:tcW w:w="2644" w:type="dxa"/>
            <w:tcBorders>
              <w:top w:val="single" w:sz="4" w:space="0" w:color="auto"/>
              <w:bottom w:val="single" w:sz="4" w:space="0" w:color="auto"/>
            </w:tcBorders>
            <w:vAlign w:val="center"/>
          </w:tcPr>
          <w:p w:rsidR="007D6731" w:rsidRPr="00154D22" w:rsidRDefault="007D6731" w:rsidP="00154D22">
            <w:pPr>
              <w:snapToGrid w:val="0"/>
              <w:spacing w:line="180" w:lineRule="exact"/>
              <w:ind w:left="248" w:hangingChars="155" w:hanging="248"/>
              <w:rPr>
                <w:rFonts w:asciiTheme="minorEastAsia" w:hAnsiTheme="minorEastAsia"/>
                <w:sz w:val="16"/>
                <w:szCs w:val="16"/>
                <w:highlight w:val="yellow"/>
              </w:rPr>
            </w:pPr>
            <w:r w:rsidRPr="009C59FD">
              <w:rPr>
                <w:rFonts w:hint="eastAsia"/>
                <w:sz w:val="16"/>
                <w:szCs w:val="16"/>
              </w:rPr>
              <w:t>各種情報発信の創意工夫</w:t>
            </w:r>
          </w:p>
        </w:tc>
        <w:tc>
          <w:tcPr>
            <w:tcW w:w="5460" w:type="dxa"/>
            <w:tcBorders>
              <w:top w:val="single" w:sz="4" w:space="0" w:color="auto"/>
              <w:bottom w:val="single" w:sz="4" w:space="0" w:color="auto"/>
            </w:tcBorders>
          </w:tcPr>
          <w:p w:rsidR="007D6731" w:rsidRPr="003028A9" w:rsidRDefault="007D6731" w:rsidP="00605834">
            <w:pPr>
              <w:snapToGrid w:val="0"/>
              <w:ind w:left="240" w:hangingChars="150" w:hanging="24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 環境・廃棄物行政の地域におけるコントロールタワーとして、区役所と連携しながら、地域から必要とされる「環境事業センター」へ転身するため、ごみ減量だけではなく、防災、福祉といった地域連携に関連するものを一つのパッケージにして、引き続き市民の理解・協力を求めていく。</w:t>
            </w:r>
          </w:p>
          <w:p w:rsidR="007D6731" w:rsidRPr="003028A9" w:rsidRDefault="007D6731" w:rsidP="00605834">
            <w:pPr>
              <w:snapToGrid w:val="0"/>
              <w:ind w:left="240" w:hangingChars="150" w:hanging="240"/>
              <w:rPr>
                <w:rFonts w:asciiTheme="minorEastAsia" w:hAnsiTheme="minorEastAsia"/>
                <w:color w:val="000000" w:themeColor="text1"/>
                <w:sz w:val="16"/>
                <w:szCs w:val="16"/>
              </w:rPr>
            </w:pPr>
            <w:r w:rsidRPr="003028A9">
              <w:rPr>
                <w:rFonts w:asciiTheme="minorEastAsia" w:hAnsiTheme="minorEastAsia" w:hint="eastAsia"/>
                <w:color w:val="000000" w:themeColor="text1"/>
                <w:sz w:val="16"/>
                <w:szCs w:val="16"/>
              </w:rPr>
              <w:t>◇ ごみ分別アプリ「さんあ～る」の積極的な利用をＰＲするとともに、そのコンテンツについても工夫するなど、ＩＣＴを積極的に活用していく。</w:t>
            </w:r>
          </w:p>
          <w:p w:rsidR="007D6731" w:rsidRPr="00683CE8" w:rsidRDefault="007D6731" w:rsidP="00605834">
            <w:pPr>
              <w:snapToGrid w:val="0"/>
              <w:spacing w:line="180" w:lineRule="exact"/>
              <w:ind w:left="240" w:hangingChars="150" w:hanging="240"/>
              <w:rPr>
                <w:rFonts w:asciiTheme="minorEastAsia" w:hAnsiTheme="minorEastAsia"/>
                <w:color w:val="000000" w:themeColor="text1"/>
                <w:sz w:val="16"/>
                <w:szCs w:val="16"/>
                <w:highlight w:val="yellow"/>
              </w:rPr>
            </w:pPr>
            <w:r w:rsidRPr="003028A9">
              <w:rPr>
                <w:rFonts w:asciiTheme="minorEastAsia" w:hAnsiTheme="minorEastAsia" w:hint="eastAsia"/>
                <w:color w:val="000000" w:themeColor="text1"/>
                <w:sz w:val="16"/>
                <w:szCs w:val="16"/>
              </w:rPr>
              <w:t>◇ 高齢者や外国人にも理解できる内容等となるよう、特に複雑化するごみの分別方法の情報発信を工夫する。</w:t>
            </w:r>
          </w:p>
        </w:tc>
        <w:tc>
          <w:tcPr>
            <w:tcW w:w="5460" w:type="dxa"/>
            <w:tcBorders>
              <w:top w:val="single" w:sz="4" w:space="0" w:color="auto"/>
              <w:bottom w:val="single" w:sz="4" w:space="0" w:color="auto"/>
            </w:tcBorders>
          </w:tcPr>
          <w:p w:rsidR="007D6731" w:rsidRPr="00683CE8" w:rsidRDefault="007D6731" w:rsidP="00605834">
            <w:pPr>
              <w:snapToGrid w:val="0"/>
              <w:ind w:left="240" w:hangingChars="150" w:hanging="240"/>
              <w:rPr>
                <w:rFonts w:asciiTheme="minorEastAsia" w:hAnsiTheme="minorEastAsia"/>
                <w:color w:val="000000" w:themeColor="text1"/>
                <w:sz w:val="16"/>
                <w:szCs w:val="16"/>
                <w:highlight w:val="yellow"/>
              </w:rPr>
            </w:pPr>
            <w:r w:rsidRPr="003028A9">
              <w:rPr>
                <w:rFonts w:asciiTheme="minorEastAsia" w:hAnsiTheme="minorEastAsia" w:hint="eastAsia"/>
                <w:color w:val="000000" w:themeColor="text1"/>
                <w:sz w:val="16"/>
                <w:szCs w:val="16"/>
              </w:rPr>
              <w:t>○ 最新のＩＣＴ機器や技術を活用し、市民にわかりやすく迅速に情報伝達する仕組みを構築する。</w:t>
            </w:r>
          </w:p>
        </w:tc>
        <w:tc>
          <w:tcPr>
            <w:tcW w:w="7137" w:type="dxa"/>
            <w:tcBorders>
              <w:top w:val="single" w:sz="4" w:space="0" w:color="auto"/>
              <w:bottom w:val="single" w:sz="4" w:space="0" w:color="auto"/>
              <w:right w:val="single" w:sz="4" w:space="0" w:color="auto"/>
            </w:tcBorders>
          </w:tcPr>
          <w:p w:rsidR="00A05663" w:rsidRPr="00A05663" w:rsidRDefault="00A05663" w:rsidP="00A05663">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局内にワーキングを立ち上げ、各種ＳＮＳを通じて魅力ある情報の発信や情報量、情報発信先を増やすために横断的な情報掲載を行うなど、各種ＳＮＳを通じた取組を強化した。</w:t>
            </w:r>
          </w:p>
          <w:p w:rsidR="00A05663" w:rsidRPr="00A05663" w:rsidRDefault="00A05663" w:rsidP="00A05663">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ＩＣＴを活用した新たなイベントとして「ごみ減量フェスティバル ｏｎ Ｗｅｂ」や「ＥＣＯ縁日2020」を実施、イベント開催に係る広報媒体として各種ＳＮＳを活用し、広く情報発信した。</w:t>
            </w:r>
          </w:p>
          <w:p w:rsidR="005A1A84" w:rsidRPr="003254D7" w:rsidRDefault="00A05663" w:rsidP="00A05663">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掲載動画本数を増やすなど、ＹｏｕＴｕｂｅのコンテンツを強化し、各種ＳＮＳのフォロワー、チャンネル登録者数が増加した。</w:t>
            </w:r>
          </w:p>
        </w:tc>
      </w:tr>
      <w:tr w:rsidR="000A34C8" w:rsidRPr="00DA5A46" w:rsidTr="00A05663">
        <w:trPr>
          <w:trHeight w:val="846"/>
          <w:jc w:val="center"/>
        </w:trPr>
        <w:tc>
          <w:tcPr>
            <w:tcW w:w="454" w:type="dxa"/>
            <w:vMerge w:val="restart"/>
            <w:tcBorders>
              <w:top w:val="single" w:sz="4" w:space="0" w:color="auto"/>
              <w:left w:val="single" w:sz="4" w:space="0" w:color="auto"/>
              <w:right w:val="single" w:sz="8" w:space="0" w:color="auto"/>
            </w:tcBorders>
            <w:shd w:val="clear" w:color="auto" w:fill="323E4F" w:themeFill="text2" w:themeFillShade="BF"/>
            <w:textDirection w:val="tbRlV"/>
            <w:vAlign w:val="center"/>
          </w:tcPr>
          <w:p w:rsidR="000A34C8" w:rsidRPr="00DA5A46" w:rsidRDefault="000A34C8" w:rsidP="00B07171">
            <w:pPr>
              <w:snapToGrid w:val="0"/>
              <w:spacing w:line="240" w:lineRule="exact"/>
              <w:ind w:left="113" w:right="113"/>
              <w:jc w:val="center"/>
              <w:rPr>
                <w:rFonts w:asciiTheme="minorEastAsia" w:hAnsiTheme="minorEastAsia"/>
                <w:sz w:val="16"/>
                <w:szCs w:val="16"/>
              </w:rPr>
            </w:pPr>
            <w:r>
              <w:rPr>
                <w:rFonts w:asciiTheme="minorEastAsia" w:hAnsiTheme="minorEastAsia" w:hint="eastAsia"/>
                <w:sz w:val="16"/>
                <w:szCs w:val="16"/>
              </w:rPr>
              <w:t>３　経営形態の検討等</w:t>
            </w:r>
          </w:p>
        </w:tc>
        <w:tc>
          <w:tcPr>
            <w:tcW w:w="436" w:type="dxa"/>
            <w:tcBorders>
              <w:top w:val="single" w:sz="4" w:space="0" w:color="auto"/>
              <w:left w:val="single" w:sz="8" w:space="0" w:color="auto"/>
              <w:bottom w:val="single" w:sz="4" w:space="0" w:color="auto"/>
            </w:tcBorders>
            <w:vAlign w:val="center"/>
          </w:tcPr>
          <w:p w:rsidR="000A34C8" w:rsidRPr="00154D22" w:rsidRDefault="000A34C8" w:rsidP="00154D22">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15</w:t>
            </w:r>
          </w:p>
        </w:tc>
        <w:tc>
          <w:tcPr>
            <w:tcW w:w="2644" w:type="dxa"/>
            <w:tcBorders>
              <w:top w:val="single" w:sz="4" w:space="0" w:color="auto"/>
              <w:bottom w:val="single" w:sz="4" w:space="0" w:color="auto"/>
            </w:tcBorders>
            <w:vAlign w:val="center"/>
          </w:tcPr>
          <w:p w:rsidR="000A34C8" w:rsidRPr="00154D22" w:rsidRDefault="000A34C8" w:rsidP="00154D22">
            <w:pPr>
              <w:snapToGrid w:val="0"/>
              <w:spacing w:line="180" w:lineRule="exact"/>
              <w:rPr>
                <w:rFonts w:asciiTheme="minorEastAsia" w:hAnsiTheme="minorEastAsia"/>
                <w:sz w:val="16"/>
                <w:szCs w:val="16"/>
                <w:highlight w:val="yellow"/>
              </w:rPr>
            </w:pPr>
            <w:r w:rsidRPr="00B07171">
              <w:rPr>
                <w:rFonts w:hint="eastAsia"/>
                <w:sz w:val="16"/>
                <w:szCs w:val="16"/>
              </w:rPr>
              <w:t>安定的かつ効率的な、ごみ焼却処分事業との一体的運営手法の検討</w:t>
            </w:r>
          </w:p>
        </w:tc>
        <w:tc>
          <w:tcPr>
            <w:tcW w:w="5460" w:type="dxa"/>
            <w:tcBorders>
              <w:top w:val="single" w:sz="4" w:space="0" w:color="auto"/>
              <w:bottom w:val="single" w:sz="4" w:space="0" w:color="auto"/>
            </w:tcBorders>
          </w:tcPr>
          <w:p w:rsidR="000A34C8" w:rsidRPr="00154D22" w:rsidRDefault="000A34C8" w:rsidP="00605834">
            <w:pPr>
              <w:snapToGrid w:val="0"/>
              <w:spacing w:line="180" w:lineRule="exact"/>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 独自収益がない「収集⇒輸送」業務単独では、新たな民間化手法は望みにくいなどから、検討当初の「収集運搬と処理処分を一体的に取り扱うことが望ましい」との基本的な考え方のもと、安定的かつ効率的な、ごみ焼却処分事業との一体的運営手法について検討していく。</w:t>
            </w:r>
          </w:p>
        </w:tc>
        <w:tc>
          <w:tcPr>
            <w:tcW w:w="5460" w:type="dxa"/>
            <w:tcBorders>
              <w:top w:val="single" w:sz="4" w:space="0" w:color="auto"/>
              <w:bottom w:val="single" w:sz="4" w:space="0" w:color="auto"/>
            </w:tcBorders>
          </w:tcPr>
          <w:p w:rsidR="000A34C8" w:rsidRPr="00154D22" w:rsidRDefault="000A34C8" w:rsidP="00605834">
            <w:pPr>
              <w:snapToGrid w:val="0"/>
              <w:spacing w:line="180" w:lineRule="exact"/>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〇 さらなる効率化と安定した事業運営をめざし、新たな民間化手法も含めて、ごみ焼却処分事業との一体的運営手法を検討していく。</w:t>
            </w:r>
          </w:p>
        </w:tc>
        <w:tc>
          <w:tcPr>
            <w:tcW w:w="7137" w:type="dxa"/>
            <w:tcBorders>
              <w:top w:val="single" w:sz="4" w:space="0" w:color="auto"/>
              <w:bottom w:val="single" w:sz="4" w:space="0" w:color="auto"/>
              <w:right w:val="single" w:sz="4" w:space="0" w:color="auto"/>
            </w:tcBorders>
          </w:tcPr>
          <w:p w:rsidR="00A05663" w:rsidRPr="00A05663" w:rsidRDefault="00A05663" w:rsidP="00A05663">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住民投票結果を踏まえ、あらためて、家庭系ごみ収集輸送事業の経営形態の検討を行い、ごみ焼却処分事業との一体的運営のメリット等を検証した。</w:t>
            </w:r>
          </w:p>
          <w:p w:rsidR="000A34C8" w:rsidRPr="003254D7" w:rsidRDefault="00A05663" w:rsidP="00A05663">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民間委託化の拡大はもとより、さらなる効率化と安定した事業運営をめざすため、家庭系ごみ収集輸送事業の経営形態について、「収集運搬と処理処分を一体的に取り扱うことが望ましい」との基本的な考え方のもと、長期的な視野にたって検討を進めてきた。</w:t>
            </w:r>
          </w:p>
        </w:tc>
      </w:tr>
      <w:tr w:rsidR="006D494C" w:rsidRPr="00DA5A46" w:rsidTr="00A05663">
        <w:trPr>
          <w:trHeight w:val="1426"/>
          <w:jc w:val="center"/>
        </w:trPr>
        <w:tc>
          <w:tcPr>
            <w:tcW w:w="454" w:type="dxa"/>
            <w:vMerge/>
            <w:tcBorders>
              <w:left w:val="single" w:sz="4" w:space="0" w:color="auto"/>
              <w:bottom w:val="single" w:sz="4" w:space="0" w:color="auto"/>
              <w:right w:val="single" w:sz="8" w:space="0" w:color="auto"/>
            </w:tcBorders>
            <w:shd w:val="clear" w:color="auto" w:fill="323E4F" w:themeFill="text2" w:themeFillShade="BF"/>
            <w:vAlign w:val="center"/>
          </w:tcPr>
          <w:p w:rsidR="006D494C" w:rsidRPr="00DA5A46" w:rsidRDefault="006D494C" w:rsidP="006D494C">
            <w:pPr>
              <w:snapToGrid w:val="0"/>
              <w:spacing w:line="240" w:lineRule="exact"/>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vAlign w:val="center"/>
          </w:tcPr>
          <w:p w:rsidR="006D494C" w:rsidRPr="00154D22" w:rsidRDefault="006D494C" w:rsidP="006D494C">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16</w:t>
            </w:r>
          </w:p>
        </w:tc>
        <w:tc>
          <w:tcPr>
            <w:tcW w:w="2644" w:type="dxa"/>
            <w:tcBorders>
              <w:top w:val="single" w:sz="4" w:space="0" w:color="auto"/>
              <w:bottom w:val="single" w:sz="4" w:space="0" w:color="auto"/>
            </w:tcBorders>
            <w:vAlign w:val="center"/>
          </w:tcPr>
          <w:p w:rsidR="006D494C" w:rsidRPr="00154D22" w:rsidRDefault="006D494C" w:rsidP="006D494C">
            <w:pPr>
              <w:snapToGrid w:val="0"/>
              <w:spacing w:line="180" w:lineRule="exact"/>
              <w:rPr>
                <w:rFonts w:asciiTheme="minorEastAsia" w:hAnsiTheme="minorEastAsia"/>
                <w:sz w:val="16"/>
                <w:szCs w:val="16"/>
                <w:highlight w:val="yellow"/>
              </w:rPr>
            </w:pPr>
            <w:r w:rsidRPr="00B07171">
              <w:rPr>
                <w:rFonts w:hint="eastAsia"/>
                <w:sz w:val="16"/>
                <w:szCs w:val="16"/>
              </w:rPr>
              <w:t>ＩＣＴの活用策について、調査・研究</w:t>
            </w:r>
          </w:p>
        </w:tc>
        <w:tc>
          <w:tcPr>
            <w:tcW w:w="5460" w:type="dxa"/>
            <w:tcBorders>
              <w:top w:val="single" w:sz="4" w:space="0" w:color="auto"/>
              <w:bottom w:val="single" w:sz="4" w:space="0" w:color="auto"/>
            </w:tcBorders>
          </w:tcPr>
          <w:p w:rsidR="006D494C" w:rsidRDefault="006D494C" w:rsidP="006D494C">
            <w:pPr>
              <w:snapToGrid w:val="0"/>
              <w:ind w:leftChars="19" w:left="280" w:hangingChars="150" w:hanging="240"/>
              <w:rPr>
                <w:rFonts w:asciiTheme="minorEastAsia" w:hAnsiTheme="minorEastAsia"/>
                <w:sz w:val="16"/>
                <w:szCs w:val="16"/>
              </w:rPr>
            </w:pPr>
            <w:r w:rsidRPr="003028A9">
              <w:rPr>
                <w:rFonts w:asciiTheme="minorEastAsia" w:hAnsiTheme="minorEastAsia" w:hint="eastAsia"/>
                <w:sz w:val="16"/>
                <w:szCs w:val="16"/>
              </w:rPr>
              <w:t>◇ タイムリーかつスピーディな情報収集による徹底した作業管理を実践するために導入した運行管理システム（ＧＰＳ車載器を含む）について、新たな分野での活用策を検討する。</w:t>
            </w:r>
          </w:p>
          <w:p w:rsidR="006D494C" w:rsidRPr="00BA70E7" w:rsidRDefault="006D494C" w:rsidP="006D494C">
            <w:pPr>
              <w:snapToGrid w:val="0"/>
              <w:ind w:leftChars="50" w:left="185" w:hangingChars="50" w:hanging="80"/>
              <w:rPr>
                <w:rFonts w:asciiTheme="minorEastAsia" w:hAnsiTheme="minorEastAsia"/>
                <w:sz w:val="16"/>
                <w:szCs w:val="16"/>
              </w:rPr>
            </w:pPr>
            <w:r w:rsidRPr="00BA70E7">
              <w:rPr>
                <w:rFonts w:asciiTheme="minorEastAsia" w:hAnsiTheme="minorEastAsia" w:hint="eastAsia"/>
                <w:sz w:val="16"/>
                <w:szCs w:val="16"/>
              </w:rPr>
              <w:t>（参考）すでに追加した機能</w:t>
            </w:r>
          </w:p>
          <w:p w:rsidR="006D494C" w:rsidRPr="003028A9" w:rsidRDefault="006D494C" w:rsidP="006D494C">
            <w:pPr>
              <w:snapToGrid w:val="0"/>
              <w:ind w:firstLineChars="200" w:firstLine="320"/>
              <w:rPr>
                <w:rFonts w:asciiTheme="minorEastAsia" w:hAnsiTheme="minorEastAsia"/>
                <w:sz w:val="16"/>
                <w:szCs w:val="16"/>
              </w:rPr>
            </w:pPr>
            <w:r w:rsidRPr="003028A9">
              <w:rPr>
                <w:rFonts w:asciiTheme="minorEastAsia" w:hAnsiTheme="minorEastAsia" w:hint="eastAsia"/>
                <w:sz w:val="16"/>
                <w:szCs w:val="16"/>
              </w:rPr>
              <w:t>・ メール送受信機能（事務所⇔車両）</w:t>
            </w:r>
          </w:p>
          <w:p w:rsidR="006D494C" w:rsidRPr="003028A9" w:rsidRDefault="006D494C" w:rsidP="006D494C">
            <w:pPr>
              <w:snapToGrid w:val="0"/>
              <w:ind w:firstLineChars="200" w:firstLine="320"/>
              <w:rPr>
                <w:rFonts w:asciiTheme="minorEastAsia" w:hAnsiTheme="minorEastAsia"/>
                <w:sz w:val="16"/>
                <w:szCs w:val="16"/>
              </w:rPr>
            </w:pPr>
            <w:r w:rsidRPr="003028A9">
              <w:rPr>
                <w:rFonts w:asciiTheme="minorEastAsia" w:hAnsiTheme="minorEastAsia" w:hint="eastAsia"/>
                <w:sz w:val="16"/>
                <w:szCs w:val="16"/>
              </w:rPr>
              <w:t>・ 地図表示機能（ＡＥＤ設置場所・災害避難場所）</w:t>
            </w:r>
          </w:p>
          <w:p w:rsidR="006D494C" w:rsidRPr="00154D22" w:rsidRDefault="006D494C" w:rsidP="006D494C">
            <w:pPr>
              <w:snapToGrid w:val="0"/>
              <w:ind w:firstLineChars="200" w:firstLine="320"/>
              <w:rPr>
                <w:rFonts w:asciiTheme="minorEastAsia" w:hAnsiTheme="minorEastAsia"/>
                <w:sz w:val="16"/>
                <w:szCs w:val="16"/>
                <w:highlight w:val="yellow"/>
              </w:rPr>
            </w:pPr>
            <w:r w:rsidRPr="003028A9">
              <w:rPr>
                <w:rFonts w:asciiTheme="minorEastAsia" w:hAnsiTheme="minorEastAsia" w:hint="eastAsia"/>
                <w:sz w:val="16"/>
                <w:szCs w:val="16"/>
              </w:rPr>
              <w:t>・ 災害発生通知機能</w:t>
            </w:r>
          </w:p>
        </w:tc>
        <w:tc>
          <w:tcPr>
            <w:tcW w:w="5460" w:type="dxa"/>
            <w:tcBorders>
              <w:top w:val="single" w:sz="4" w:space="0" w:color="auto"/>
              <w:bottom w:val="single" w:sz="4" w:space="0" w:color="auto"/>
            </w:tcBorders>
          </w:tcPr>
          <w:p w:rsidR="006D494C" w:rsidRPr="00154D22" w:rsidRDefault="006D494C" w:rsidP="006D494C">
            <w:pPr>
              <w:snapToGrid w:val="0"/>
              <w:spacing w:line="180" w:lineRule="exact"/>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〇 運行管理システム（ＧＰＳ車載器を含む）の機能を活かすことができる分野を引き続き調査・研究し、機能追加していく。</w:t>
            </w:r>
          </w:p>
        </w:tc>
        <w:tc>
          <w:tcPr>
            <w:tcW w:w="7137" w:type="dxa"/>
            <w:tcBorders>
              <w:top w:val="single" w:sz="4" w:space="0" w:color="auto"/>
              <w:bottom w:val="single" w:sz="4" w:space="0" w:color="auto"/>
              <w:right w:val="single" w:sz="4" w:space="0" w:color="auto"/>
            </w:tcBorders>
          </w:tcPr>
          <w:p w:rsidR="00A05663" w:rsidRPr="00A05663" w:rsidRDefault="00A05663" w:rsidP="00A05663">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公務上交通事故防止に向けて、運行管理システムへの新たな機能追加（地点登録による交通事故発生リスクの抑制等）に取り組んだ。</w:t>
            </w:r>
          </w:p>
          <w:p w:rsidR="00A05663" w:rsidRPr="00A05663" w:rsidRDefault="00A05663" w:rsidP="00A05663">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現行運行管理システムの契約事業者とは別の事業者が開発したシステムを試験的に利用し、比較を行うなど、調査・研究を行った。</w:t>
            </w:r>
          </w:p>
          <w:p w:rsidR="00A05663" w:rsidRPr="00A05663" w:rsidRDefault="00A05663" w:rsidP="00A05663">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運行管理システムに新たな機能を追加し、安全運転の取組を強化した。</w:t>
            </w:r>
          </w:p>
          <w:p w:rsidR="006D494C" w:rsidRPr="003254D7" w:rsidRDefault="00A05663" w:rsidP="00A05663">
            <w:pPr>
              <w:snapToGrid w:val="0"/>
              <w:spacing w:line="180" w:lineRule="exact"/>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位置情報誤認知の調整や検知基準の調整などにより、取得データの精度について、改善を図った。</w:t>
            </w:r>
          </w:p>
        </w:tc>
      </w:tr>
      <w:tr w:rsidR="006D494C" w:rsidRPr="00DA5A46" w:rsidTr="00A05663">
        <w:trPr>
          <w:trHeight w:val="839"/>
          <w:jc w:val="center"/>
        </w:trPr>
        <w:tc>
          <w:tcPr>
            <w:tcW w:w="454" w:type="dxa"/>
            <w:vMerge w:val="restart"/>
            <w:tcBorders>
              <w:top w:val="single" w:sz="4" w:space="0" w:color="auto"/>
              <w:left w:val="single" w:sz="4" w:space="0" w:color="auto"/>
              <w:right w:val="single" w:sz="8" w:space="0" w:color="auto"/>
            </w:tcBorders>
            <w:shd w:val="clear" w:color="auto" w:fill="323E4F" w:themeFill="text2" w:themeFillShade="BF"/>
            <w:textDirection w:val="tbRlV"/>
            <w:vAlign w:val="center"/>
          </w:tcPr>
          <w:p w:rsidR="006D494C" w:rsidRPr="00DA5A46" w:rsidRDefault="006D494C" w:rsidP="006D494C">
            <w:pPr>
              <w:snapToGrid w:val="0"/>
              <w:spacing w:line="220" w:lineRule="exact"/>
              <w:ind w:left="113" w:right="113"/>
              <w:jc w:val="center"/>
              <w:rPr>
                <w:rFonts w:asciiTheme="minorEastAsia" w:hAnsiTheme="minorEastAsia"/>
                <w:sz w:val="16"/>
                <w:szCs w:val="16"/>
              </w:rPr>
            </w:pPr>
            <w:r>
              <w:rPr>
                <w:rFonts w:asciiTheme="minorEastAsia" w:hAnsiTheme="minorEastAsia" w:hint="eastAsia"/>
                <w:sz w:val="16"/>
                <w:szCs w:val="16"/>
              </w:rPr>
              <w:t>４　改革の徹底</w:t>
            </w:r>
          </w:p>
        </w:tc>
        <w:tc>
          <w:tcPr>
            <w:tcW w:w="436" w:type="dxa"/>
            <w:tcBorders>
              <w:top w:val="single" w:sz="4" w:space="0" w:color="auto"/>
              <w:left w:val="single" w:sz="8" w:space="0" w:color="auto"/>
              <w:bottom w:val="single" w:sz="4" w:space="0" w:color="auto"/>
            </w:tcBorders>
            <w:vAlign w:val="center"/>
          </w:tcPr>
          <w:p w:rsidR="006D494C" w:rsidRPr="00154D22" w:rsidRDefault="006D494C" w:rsidP="006D494C">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17</w:t>
            </w:r>
          </w:p>
        </w:tc>
        <w:tc>
          <w:tcPr>
            <w:tcW w:w="2644" w:type="dxa"/>
            <w:tcBorders>
              <w:top w:val="single" w:sz="4" w:space="0" w:color="auto"/>
              <w:bottom w:val="single" w:sz="4" w:space="0" w:color="auto"/>
            </w:tcBorders>
            <w:vAlign w:val="center"/>
          </w:tcPr>
          <w:p w:rsidR="006D494C" w:rsidRPr="00154D22" w:rsidRDefault="006D494C" w:rsidP="006D494C">
            <w:pPr>
              <w:snapToGrid w:val="0"/>
              <w:spacing w:line="180" w:lineRule="exact"/>
              <w:rPr>
                <w:rFonts w:asciiTheme="minorEastAsia" w:hAnsiTheme="minorEastAsia"/>
                <w:sz w:val="16"/>
                <w:szCs w:val="16"/>
                <w:highlight w:val="yellow"/>
              </w:rPr>
            </w:pPr>
            <w:r w:rsidRPr="00B07171">
              <w:rPr>
                <w:rFonts w:hint="eastAsia"/>
                <w:sz w:val="16"/>
                <w:szCs w:val="16"/>
              </w:rPr>
              <w:t>改革検討委員会の実施</w:t>
            </w:r>
          </w:p>
        </w:tc>
        <w:tc>
          <w:tcPr>
            <w:tcW w:w="5460" w:type="dxa"/>
            <w:tcBorders>
              <w:top w:val="single" w:sz="4" w:space="0" w:color="auto"/>
              <w:bottom w:val="single" w:sz="4" w:space="0" w:color="auto"/>
            </w:tcBorders>
          </w:tcPr>
          <w:p w:rsidR="006D494C" w:rsidRPr="003028A9" w:rsidRDefault="006D494C" w:rsidP="006D494C">
            <w:pPr>
              <w:snapToGrid w:val="0"/>
              <w:spacing w:line="180" w:lineRule="exact"/>
              <w:rPr>
                <w:rFonts w:asciiTheme="minorEastAsia" w:hAnsiTheme="minorEastAsia"/>
                <w:sz w:val="16"/>
                <w:szCs w:val="16"/>
              </w:rPr>
            </w:pPr>
            <w:r w:rsidRPr="003028A9">
              <w:rPr>
                <w:rFonts w:asciiTheme="minorEastAsia" w:hAnsiTheme="minorEastAsia" w:hint="eastAsia"/>
                <w:sz w:val="16"/>
                <w:szCs w:val="16"/>
              </w:rPr>
              <w:t>◇ 改革検討委員会のもとに、部会を設置し、取組を行う。</w:t>
            </w:r>
          </w:p>
          <w:p w:rsidR="006D494C" w:rsidRPr="003028A9" w:rsidRDefault="006D494C" w:rsidP="006D494C">
            <w:pPr>
              <w:snapToGrid w:val="0"/>
              <w:spacing w:line="180" w:lineRule="exact"/>
              <w:rPr>
                <w:rFonts w:asciiTheme="minorEastAsia" w:hAnsiTheme="minorEastAsia"/>
                <w:sz w:val="16"/>
                <w:szCs w:val="16"/>
              </w:rPr>
            </w:pPr>
            <w:r w:rsidRPr="003028A9">
              <w:rPr>
                <w:rFonts w:asciiTheme="minorEastAsia" w:hAnsiTheme="minorEastAsia" w:hint="eastAsia"/>
                <w:sz w:val="16"/>
                <w:szCs w:val="16"/>
              </w:rPr>
              <w:t>◇ 「自律した環境事業センター」をめざし、必要な仕組みを構築する。</w:t>
            </w:r>
          </w:p>
          <w:p w:rsidR="006D494C" w:rsidRPr="00154D22" w:rsidRDefault="006D494C" w:rsidP="006D494C">
            <w:pPr>
              <w:snapToGrid w:val="0"/>
              <w:spacing w:line="180" w:lineRule="exact"/>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 局長等と環境事業センターによる意見交換会を上半期・下半期で実施するなどで、ボトムアップを図っていく。</w:t>
            </w:r>
          </w:p>
        </w:tc>
        <w:tc>
          <w:tcPr>
            <w:tcW w:w="5460" w:type="dxa"/>
            <w:tcBorders>
              <w:top w:val="single" w:sz="4" w:space="0" w:color="auto"/>
              <w:bottom w:val="single" w:sz="4" w:space="0" w:color="auto"/>
            </w:tcBorders>
          </w:tcPr>
          <w:p w:rsidR="006D494C" w:rsidRPr="003028A9" w:rsidRDefault="006D494C" w:rsidP="006D494C">
            <w:pPr>
              <w:snapToGrid w:val="0"/>
              <w:spacing w:line="180" w:lineRule="exact"/>
              <w:ind w:left="240" w:hangingChars="150" w:hanging="240"/>
              <w:rPr>
                <w:sz w:val="16"/>
                <w:szCs w:val="16"/>
              </w:rPr>
            </w:pPr>
            <w:r w:rsidRPr="003028A9">
              <w:rPr>
                <w:rFonts w:hint="eastAsia"/>
                <w:sz w:val="16"/>
                <w:szCs w:val="16"/>
              </w:rPr>
              <w:t>〇</w:t>
            </w:r>
            <w:r w:rsidRPr="003028A9">
              <w:rPr>
                <w:rFonts w:hint="eastAsia"/>
                <w:sz w:val="16"/>
                <w:szCs w:val="16"/>
              </w:rPr>
              <w:t xml:space="preserve"> </w:t>
            </w:r>
            <w:r w:rsidRPr="003028A9">
              <w:rPr>
                <w:rFonts w:hint="eastAsia"/>
                <w:sz w:val="16"/>
                <w:szCs w:val="16"/>
              </w:rPr>
              <w:t>環境事業センター改革検討委員会を四半期ごとに開催し、各種の取組状況を把握しながら、組織の活性化を図るなど、改革実現のための取組を継続する。</w:t>
            </w:r>
          </w:p>
          <w:p w:rsidR="006D494C" w:rsidRPr="00154D22" w:rsidRDefault="006D494C" w:rsidP="006D494C">
            <w:pPr>
              <w:snapToGrid w:val="0"/>
              <w:spacing w:line="180" w:lineRule="exact"/>
              <w:ind w:left="240" w:hangingChars="150" w:hanging="240"/>
              <w:rPr>
                <w:rFonts w:asciiTheme="minorEastAsia" w:hAnsiTheme="minorEastAsia"/>
                <w:sz w:val="16"/>
                <w:szCs w:val="16"/>
                <w:highlight w:val="yellow"/>
              </w:rPr>
            </w:pPr>
            <w:r w:rsidRPr="003028A9">
              <w:rPr>
                <w:rFonts w:hint="eastAsia"/>
                <w:sz w:val="16"/>
                <w:szCs w:val="16"/>
              </w:rPr>
              <w:t>〇</w:t>
            </w:r>
            <w:r w:rsidRPr="003028A9">
              <w:rPr>
                <w:rFonts w:hint="eastAsia"/>
                <w:sz w:val="16"/>
                <w:szCs w:val="16"/>
              </w:rPr>
              <w:t xml:space="preserve"> </w:t>
            </w:r>
            <w:r w:rsidRPr="003028A9">
              <w:rPr>
                <w:rFonts w:hint="eastAsia"/>
                <w:sz w:val="16"/>
                <w:szCs w:val="16"/>
              </w:rPr>
              <w:t>各環境事業センターでの自主的な取組や服務規律の確保が図られる体制を確立する。</w:t>
            </w:r>
          </w:p>
        </w:tc>
        <w:tc>
          <w:tcPr>
            <w:tcW w:w="7137" w:type="dxa"/>
            <w:tcBorders>
              <w:top w:val="single" w:sz="4" w:space="0" w:color="auto"/>
              <w:bottom w:val="single" w:sz="4" w:space="0" w:color="auto"/>
              <w:right w:val="single" w:sz="4" w:space="0" w:color="auto"/>
            </w:tcBorders>
          </w:tcPr>
          <w:p w:rsidR="00A05663" w:rsidRPr="00A05663" w:rsidRDefault="00A05663" w:rsidP="00A05663">
            <w:pPr>
              <w:snapToGrid w:val="0"/>
              <w:spacing w:line="18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四半期ごとに改革検討委員会を開催するほか、改革検討委員会の傘下に改革検証部会を設置し、改革プラン2.0に掲げる目標達成に向けた各種取組について、検討・議論を進めた。</w:t>
            </w:r>
          </w:p>
          <w:p w:rsidR="00A05663" w:rsidRPr="00A05663" w:rsidRDefault="00A05663" w:rsidP="00A05663">
            <w:pPr>
              <w:snapToGrid w:val="0"/>
              <w:spacing w:line="18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改革プラン2.0に掲げる目標等について、令和２年６～７月及び12月に環境事業センターと意見交換会を実施し、取組方法等について議論した。</w:t>
            </w:r>
          </w:p>
          <w:p w:rsidR="00A05663" w:rsidRPr="00A05663" w:rsidRDefault="00A05663" w:rsidP="00A05663">
            <w:pPr>
              <w:snapToGrid w:val="0"/>
              <w:spacing w:line="18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当初計画どおり、改革を実現する取組を継続するため、ＰＤＣＡサイクルを徹底した。</w:t>
            </w:r>
          </w:p>
          <w:p w:rsidR="006D494C" w:rsidRPr="003254D7" w:rsidRDefault="00A05663" w:rsidP="00A05663">
            <w:pPr>
              <w:snapToGrid w:val="0"/>
              <w:spacing w:line="18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各センターとの意見交換会における議論を踏まえて目標達成に向けて取り組んだ。</w:t>
            </w:r>
          </w:p>
        </w:tc>
      </w:tr>
      <w:tr w:rsidR="006D494C" w:rsidRPr="00DA5A46" w:rsidTr="00A05663">
        <w:trPr>
          <w:trHeight w:val="826"/>
          <w:jc w:val="center"/>
        </w:trPr>
        <w:tc>
          <w:tcPr>
            <w:tcW w:w="454" w:type="dxa"/>
            <w:vMerge/>
            <w:tcBorders>
              <w:left w:val="single" w:sz="4" w:space="0" w:color="auto"/>
              <w:bottom w:val="single" w:sz="4" w:space="0" w:color="auto"/>
              <w:right w:val="single" w:sz="8" w:space="0" w:color="auto"/>
            </w:tcBorders>
            <w:shd w:val="clear" w:color="auto" w:fill="323E4F" w:themeFill="text2" w:themeFillShade="BF"/>
            <w:textDirection w:val="tbRlV"/>
            <w:vAlign w:val="center"/>
          </w:tcPr>
          <w:p w:rsidR="006D494C" w:rsidRPr="00DA5A46" w:rsidRDefault="006D494C" w:rsidP="006D494C">
            <w:pPr>
              <w:snapToGrid w:val="0"/>
              <w:spacing w:line="220" w:lineRule="exact"/>
              <w:ind w:left="113" w:right="113"/>
              <w:jc w:val="center"/>
              <w:rPr>
                <w:rFonts w:asciiTheme="minorEastAsia" w:hAnsiTheme="minorEastAsia"/>
                <w:sz w:val="16"/>
                <w:szCs w:val="16"/>
              </w:rPr>
            </w:pPr>
          </w:p>
        </w:tc>
        <w:tc>
          <w:tcPr>
            <w:tcW w:w="436" w:type="dxa"/>
            <w:tcBorders>
              <w:top w:val="single" w:sz="4" w:space="0" w:color="auto"/>
              <w:left w:val="single" w:sz="8" w:space="0" w:color="auto"/>
              <w:bottom w:val="single" w:sz="4" w:space="0" w:color="auto"/>
            </w:tcBorders>
            <w:vAlign w:val="center"/>
          </w:tcPr>
          <w:p w:rsidR="006D494C" w:rsidRPr="00154D22" w:rsidRDefault="006D494C" w:rsidP="006D494C">
            <w:pPr>
              <w:snapToGrid w:val="0"/>
              <w:spacing w:line="240" w:lineRule="exact"/>
              <w:jc w:val="center"/>
              <w:rPr>
                <w:rFonts w:asciiTheme="minorEastAsia" w:hAnsiTheme="minorEastAsia"/>
                <w:sz w:val="16"/>
                <w:szCs w:val="16"/>
              </w:rPr>
            </w:pPr>
            <w:r w:rsidRPr="00154D22">
              <w:rPr>
                <w:rFonts w:asciiTheme="minorEastAsia" w:hAnsiTheme="minorEastAsia" w:hint="eastAsia"/>
                <w:sz w:val="16"/>
                <w:szCs w:val="16"/>
              </w:rPr>
              <w:t>18</w:t>
            </w:r>
          </w:p>
        </w:tc>
        <w:tc>
          <w:tcPr>
            <w:tcW w:w="2644" w:type="dxa"/>
            <w:tcBorders>
              <w:top w:val="single" w:sz="4" w:space="0" w:color="auto"/>
              <w:bottom w:val="single" w:sz="4" w:space="0" w:color="auto"/>
            </w:tcBorders>
            <w:vAlign w:val="center"/>
          </w:tcPr>
          <w:p w:rsidR="006D494C" w:rsidRPr="00154D22" w:rsidRDefault="006D494C" w:rsidP="006D494C">
            <w:pPr>
              <w:snapToGrid w:val="0"/>
              <w:spacing w:line="180" w:lineRule="exact"/>
              <w:rPr>
                <w:rFonts w:asciiTheme="minorEastAsia" w:hAnsiTheme="minorEastAsia"/>
                <w:sz w:val="16"/>
                <w:szCs w:val="16"/>
                <w:highlight w:val="yellow"/>
              </w:rPr>
            </w:pPr>
            <w:r w:rsidRPr="00B07171">
              <w:rPr>
                <w:rFonts w:hint="eastAsia"/>
                <w:sz w:val="16"/>
                <w:szCs w:val="16"/>
              </w:rPr>
              <w:t>運営評価の継続実施</w:t>
            </w:r>
          </w:p>
        </w:tc>
        <w:tc>
          <w:tcPr>
            <w:tcW w:w="5460" w:type="dxa"/>
            <w:tcBorders>
              <w:top w:val="single" w:sz="4" w:space="0" w:color="auto"/>
              <w:bottom w:val="single" w:sz="4" w:space="0" w:color="auto"/>
            </w:tcBorders>
          </w:tcPr>
          <w:p w:rsidR="006D494C" w:rsidRPr="00154D22" w:rsidRDefault="006D494C" w:rsidP="006D494C">
            <w:pPr>
              <w:snapToGrid w:val="0"/>
              <w:spacing w:line="180" w:lineRule="exact"/>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 改革実現のためのツールとして、継続的に取組を実施することにより、明らかになった課題に対し、環境事業センターが自主的に改善に取り組むことで、運営の質的向上をめざす。</w:t>
            </w:r>
          </w:p>
        </w:tc>
        <w:tc>
          <w:tcPr>
            <w:tcW w:w="5460" w:type="dxa"/>
            <w:tcBorders>
              <w:top w:val="single" w:sz="4" w:space="0" w:color="auto"/>
              <w:bottom w:val="single" w:sz="4" w:space="0" w:color="auto"/>
            </w:tcBorders>
          </w:tcPr>
          <w:p w:rsidR="006D494C" w:rsidRPr="003028A9" w:rsidRDefault="006D494C" w:rsidP="006D494C">
            <w:pPr>
              <w:snapToGrid w:val="0"/>
              <w:spacing w:line="180" w:lineRule="exact"/>
              <w:ind w:left="240" w:hangingChars="150" w:hanging="240"/>
              <w:rPr>
                <w:rFonts w:asciiTheme="minorEastAsia" w:hAnsiTheme="minorEastAsia"/>
                <w:sz w:val="16"/>
                <w:szCs w:val="16"/>
              </w:rPr>
            </w:pPr>
            <w:r w:rsidRPr="003028A9">
              <w:rPr>
                <w:rFonts w:asciiTheme="minorEastAsia" w:hAnsiTheme="minorEastAsia" w:hint="eastAsia"/>
                <w:sz w:val="16"/>
                <w:szCs w:val="16"/>
              </w:rPr>
              <w:t>〇 環境事業センター全体の運営の質的向上を図るため、継続的な評価結果（点数）の引き上げを行っていく。</w:t>
            </w:r>
          </w:p>
          <w:p w:rsidR="006D494C" w:rsidRPr="00154D22" w:rsidRDefault="006D494C" w:rsidP="006D494C">
            <w:pPr>
              <w:snapToGrid w:val="0"/>
              <w:spacing w:line="180" w:lineRule="exact"/>
              <w:ind w:left="240" w:hangingChars="150" w:hanging="240"/>
              <w:rPr>
                <w:rFonts w:asciiTheme="minorEastAsia" w:hAnsiTheme="minorEastAsia"/>
                <w:sz w:val="16"/>
                <w:szCs w:val="16"/>
                <w:highlight w:val="yellow"/>
              </w:rPr>
            </w:pPr>
            <w:r w:rsidRPr="003028A9">
              <w:rPr>
                <w:rFonts w:asciiTheme="minorEastAsia" w:hAnsiTheme="minorEastAsia" w:hint="eastAsia"/>
                <w:sz w:val="16"/>
                <w:szCs w:val="16"/>
              </w:rPr>
              <w:t>〇 毎年度上半期に運営評価を実施し、下半期に評価結果を公表する等の取組を行う。</w:t>
            </w:r>
          </w:p>
        </w:tc>
        <w:tc>
          <w:tcPr>
            <w:tcW w:w="7137" w:type="dxa"/>
            <w:tcBorders>
              <w:top w:val="single" w:sz="4" w:space="0" w:color="auto"/>
              <w:bottom w:val="single" w:sz="4" w:space="0" w:color="auto"/>
              <w:right w:val="single" w:sz="4" w:space="0" w:color="auto"/>
            </w:tcBorders>
          </w:tcPr>
          <w:p w:rsidR="00A05663" w:rsidRPr="00A05663" w:rsidRDefault="00A05663" w:rsidP="00A05663">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Pr>
                <w:rFonts w:asciiTheme="minorEastAsia" w:hAnsiTheme="minorEastAsia"/>
                <w:color w:val="000000" w:themeColor="text1"/>
                <w:sz w:val="16"/>
                <w:szCs w:val="16"/>
              </w:rPr>
              <w:t xml:space="preserve"> </w:t>
            </w:r>
            <w:r w:rsidRPr="00A05663">
              <w:rPr>
                <w:rFonts w:asciiTheme="minorEastAsia" w:hAnsiTheme="minorEastAsia" w:hint="eastAsia"/>
                <w:color w:val="000000" w:themeColor="text1"/>
                <w:sz w:val="16"/>
                <w:szCs w:val="16"/>
              </w:rPr>
              <w:t xml:space="preserve">令和２年10月　中間とりまとめ（９月末時点）　</w:t>
            </w:r>
          </w:p>
          <w:p w:rsidR="00A05663" w:rsidRPr="00A05663" w:rsidRDefault="00A05663" w:rsidP="00A05663">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Pr>
                <w:rFonts w:asciiTheme="minorEastAsia" w:hAnsiTheme="minorEastAsia"/>
                <w:color w:val="000000" w:themeColor="text1"/>
                <w:sz w:val="16"/>
                <w:szCs w:val="16"/>
              </w:rPr>
              <w:t xml:space="preserve"> </w:t>
            </w:r>
            <w:r w:rsidRPr="00A05663">
              <w:rPr>
                <w:rFonts w:asciiTheme="minorEastAsia" w:hAnsiTheme="minorEastAsia" w:hint="eastAsia"/>
                <w:color w:val="000000" w:themeColor="text1"/>
                <w:sz w:val="16"/>
                <w:szCs w:val="16"/>
              </w:rPr>
              <w:t>令和３年２月　 評価結果公表、総合点上位３センターを表彰</w:t>
            </w:r>
          </w:p>
          <w:p w:rsidR="00A05663" w:rsidRPr="00A05663" w:rsidRDefault="00A05663" w:rsidP="00A05663">
            <w:pPr>
              <w:snapToGrid w:val="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当初予定どおり実施することができた。</w:t>
            </w:r>
          </w:p>
          <w:p w:rsidR="006D494C" w:rsidRPr="003254D7" w:rsidRDefault="00A05663" w:rsidP="00A05663">
            <w:pPr>
              <w:snapToGrid w:val="0"/>
              <w:ind w:left="240" w:hangingChars="150" w:hanging="24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A05663">
              <w:rPr>
                <w:rFonts w:asciiTheme="minorEastAsia" w:hAnsiTheme="minorEastAsia" w:hint="eastAsia"/>
                <w:color w:val="000000" w:themeColor="text1"/>
                <w:sz w:val="16"/>
                <w:szCs w:val="16"/>
              </w:rPr>
              <w:t xml:space="preserve"> 運営評価は５年目を迎え、各センターにその趣旨が十分に浸透し、前年度の評価結果で明らかになった課題の改善が図られるなど、着実に取組が進められており、センター業務の質的向上が図られてきた。</w:t>
            </w:r>
          </w:p>
        </w:tc>
      </w:tr>
    </w:tbl>
    <w:p w:rsidR="005C2C5A" w:rsidRPr="00A61AC2" w:rsidRDefault="005C2C5A" w:rsidP="005C2C5A">
      <w:pPr>
        <w:rPr>
          <w:sz w:val="18"/>
          <w:szCs w:val="18"/>
        </w:rPr>
      </w:pPr>
    </w:p>
    <w:sectPr w:rsidR="005C2C5A" w:rsidRPr="00A61AC2" w:rsidSect="004A5D7A">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1134" w:right="851" w:bottom="156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C85" w:rsidRDefault="001E2C85" w:rsidP="005C2C5A">
      <w:r>
        <w:separator/>
      </w:r>
    </w:p>
  </w:endnote>
  <w:endnote w:type="continuationSeparator" w:id="0">
    <w:p w:rsidR="001E2C85" w:rsidRDefault="001E2C85" w:rsidP="005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2" w:rsidRDefault="00742B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2" w:rsidRDefault="00742B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2" w:rsidRDefault="00742B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C85" w:rsidRDefault="001E2C85" w:rsidP="005C2C5A">
      <w:r>
        <w:separator/>
      </w:r>
    </w:p>
  </w:footnote>
  <w:footnote w:type="continuationSeparator" w:id="0">
    <w:p w:rsidR="001E2C85" w:rsidRDefault="001E2C85" w:rsidP="005C2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2" w:rsidRDefault="00742B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2" w:rsidRDefault="00742B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2" w:rsidRDefault="00742B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AC"/>
    <w:multiLevelType w:val="hybridMultilevel"/>
    <w:tmpl w:val="47AC0F3A"/>
    <w:lvl w:ilvl="0" w:tplc="A5C6091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73F1B09"/>
    <w:multiLevelType w:val="hybridMultilevel"/>
    <w:tmpl w:val="6DDA9E2C"/>
    <w:lvl w:ilvl="0" w:tplc="FA14923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09D305F4"/>
    <w:multiLevelType w:val="hybridMultilevel"/>
    <w:tmpl w:val="80B64B58"/>
    <w:lvl w:ilvl="0" w:tplc="32CC066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B3B7EED"/>
    <w:multiLevelType w:val="hybridMultilevel"/>
    <w:tmpl w:val="6D9A067E"/>
    <w:lvl w:ilvl="0" w:tplc="3992272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151F009A"/>
    <w:multiLevelType w:val="hybridMultilevel"/>
    <w:tmpl w:val="C854C338"/>
    <w:lvl w:ilvl="0" w:tplc="E0A6E586">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1BD86F66"/>
    <w:multiLevelType w:val="hybridMultilevel"/>
    <w:tmpl w:val="5A340B46"/>
    <w:lvl w:ilvl="0" w:tplc="A198D30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E682B8E"/>
    <w:multiLevelType w:val="hybridMultilevel"/>
    <w:tmpl w:val="8AD453EC"/>
    <w:lvl w:ilvl="0" w:tplc="6624127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2CD34AB8"/>
    <w:multiLevelType w:val="hybridMultilevel"/>
    <w:tmpl w:val="48601122"/>
    <w:lvl w:ilvl="0" w:tplc="0BDA079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2DFF4765"/>
    <w:multiLevelType w:val="hybridMultilevel"/>
    <w:tmpl w:val="8BFE1B0C"/>
    <w:lvl w:ilvl="0" w:tplc="80BC2A8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377304A4"/>
    <w:multiLevelType w:val="hybridMultilevel"/>
    <w:tmpl w:val="A8F0A99E"/>
    <w:lvl w:ilvl="0" w:tplc="A8CE500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3DCB63F9"/>
    <w:multiLevelType w:val="hybridMultilevel"/>
    <w:tmpl w:val="8E5E2BC6"/>
    <w:lvl w:ilvl="0" w:tplc="06A8DA8A">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3F5A10B4"/>
    <w:multiLevelType w:val="hybridMultilevel"/>
    <w:tmpl w:val="4D5080E8"/>
    <w:lvl w:ilvl="0" w:tplc="9B2C8EDE">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51D76DA3"/>
    <w:multiLevelType w:val="hybridMultilevel"/>
    <w:tmpl w:val="A8B82F5C"/>
    <w:lvl w:ilvl="0" w:tplc="344A5DEC">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3" w15:restartNumberingAfterBreak="0">
    <w:nsid w:val="5304004C"/>
    <w:multiLevelType w:val="hybridMultilevel"/>
    <w:tmpl w:val="B276F9C6"/>
    <w:lvl w:ilvl="0" w:tplc="6C64934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5D750943"/>
    <w:multiLevelType w:val="hybridMultilevel"/>
    <w:tmpl w:val="3358247A"/>
    <w:lvl w:ilvl="0" w:tplc="23E8D4D2">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7B816528"/>
    <w:multiLevelType w:val="hybridMultilevel"/>
    <w:tmpl w:val="A67698BE"/>
    <w:lvl w:ilvl="0" w:tplc="9D2E91C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7CC8550D"/>
    <w:multiLevelType w:val="hybridMultilevel"/>
    <w:tmpl w:val="19A41384"/>
    <w:lvl w:ilvl="0" w:tplc="6800636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7DDE7BCD"/>
    <w:multiLevelType w:val="hybridMultilevel"/>
    <w:tmpl w:val="E556B414"/>
    <w:lvl w:ilvl="0" w:tplc="6B2E25D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7FEB2D0E"/>
    <w:multiLevelType w:val="hybridMultilevel"/>
    <w:tmpl w:val="BBBA7F50"/>
    <w:lvl w:ilvl="0" w:tplc="35DA4B5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0"/>
  </w:num>
  <w:num w:numId="3">
    <w:abstractNumId w:val="3"/>
  </w:num>
  <w:num w:numId="4">
    <w:abstractNumId w:val="5"/>
  </w:num>
  <w:num w:numId="5">
    <w:abstractNumId w:val="13"/>
  </w:num>
  <w:num w:numId="6">
    <w:abstractNumId w:val="9"/>
  </w:num>
  <w:num w:numId="7">
    <w:abstractNumId w:val="8"/>
  </w:num>
  <w:num w:numId="8">
    <w:abstractNumId w:val="17"/>
  </w:num>
  <w:num w:numId="9">
    <w:abstractNumId w:val="10"/>
  </w:num>
  <w:num w:numId="10">
    <w:abstractNumId w:val="14"/>
  </w:num>
  <w:num w:numId="11">
    <w:abstractNumId w:val="2"/>
  </w:num>
  <w:num w:numId="12">
    <w:abstractNumId w:val="4"/>
  </w:num>
  <w:num w:numId="13">
    <w:abstractNumId w:val="12"/>
  </w:num>
  <w:num w:numId="14">
    <w:abstractNumId w:val="7"/>
  </w:num>
  <w:num w:numId="15">
    <w:abstractNumId w:val="18"/>
  </w:num>
  <w:num w:numId="16">
    <w:abstractNumId w:val="15"/>
  </w:num>
  <w:num w:numId="17">
    <w:abstractNumId w:val="11"/>
  </w:num>
  <w:num w:numId="18">
    <w:abstractNumId w:val="16"/>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08"/>
    <w:rsid w:val="00044517"/>
    <w:rsid w:val="00044B4D"/>
    <w:rsid w:val="0005347E"/>
    <w:rsid w:val="000A0286"/>
    <w:rsid w:val="000A34C8"/>
    <w:rsid w:val="000A791A"/>
    <w:rsid w:val="000B7A22"/>
    <w:rsid w:val="000C0A98"/>
    <w:rsid w:val="000D7A18"/>
    <w:rsid w:val="000F07A4"/>
    <w:rsid w:val="000F4A6C"/>
    <w:rsid w:val="001100DE"/>
    <w:rsid w:val="001261BB"/>
    <w:rsid w:val="001447D9"/>
    <w:rsid w:val="00154D22"/>
    <w:rsid w:val="00156D52"/>
    <w:rsid w:val="001A342C"/>
    <w:rsid w:val="001D0185"/>
    <w:rsid w:val="001D6799"/>
    <w:rsid w:val="001D7E28"/>
    <w:rsid w:val="001E19E0"/>
    <w:rsid w:val="001E2C85"/>
    <w:rsid w:val="002173DE"/>
    <w:rsid w:val="00225038"/>
    <w:rsid w:val="00227520"/>
    <w:rsid w:val="0023266A"/>
    <w:rsid w:val="00236411"/>
    <w:rsid w:val="0024636E"/>
    <w:rsid w:val="0025642A"/>
    <w:rsid w:val="00264C55"/>
    <w:rsid w:val="002722C4"/>
    <w:rsid w:val="002D24F9"/>
    <w:rsid w:val="002D2A5C"/>
    <w:rsid w:val="002D38F7"/>
    <w:rsid w:val="002E5F25"/>
    <w:rsid w:val="003028A9"/>
    <w:rsid w:val="00304C22"/>
    <w:rsid w:val="0030779A"/>
    <w:rsid w:val="003254D7"/>
    <w:rsid w:val="00333AFD"/>
    <w:rsid w:val="00344C9B"/>
    <w:rsid w:val="00360C1F"/>
    <w:rsid w:val="003757E5"/>
    <w:rsid w:val="00376426"/>
    <w:rsid w:val="00390647"/>
    <w:rsid w:val="003B1F1A"/>
    <w:rsid w:val="003B4CB9"/>
    <w:rsid w:val="003F4DFF"/>
    <w:rsid w:val="003F6632"/>
    <w:rsid w:val="00426BD0"/>
    <w:rsid w:val="00450AE9"/>
    <w:rsid w:val="00472CDE"/>
    <w:rsid w:val="00480FAD"/>
    <w:rsid w:val="00483AB1"/>
    <w:rsid w:val="004A06B9"/>
    <w:rsid w:val="004A19EA"/>
    <w:rsid w:val="004A5D7A"/>
    <w:rsid w:val="004E4CE8"/>
    <w:rsid w:val="004E6BD2"/>
    <w:rsid w:val="004F7E2C"/>
    <w:rsid w:val="005230EA"/>
    <w:rsid w:val="00525543"/>
    <w:rsid w:val="005265FA"/>
    <w:rsid w:val="00536E5F"/>
    <w:rsid w:val="005372FF"/>
    <w:rsid w:val="00537A56"/>
    <w:rsid w:val="005A1A84"/>
    <w:rsid w:val="005C077C"/>
    <w:rsid w:val="005C2C5A"/>
    <w:rsid w:val="005F1E9F"/>
    <w:rsid w:val="00601276"/>
    <w:rsid w:val="00605834"/>
    <w:rsid w:val="00617B24"/>
    <w:rsid w:val="0062072E"/>
    <w:rsid w:val="00626DA0"/>
    <w:rsid w:val="00630DEF"/>
    <w:rsid w:val="006352F2"/>
    <w:rsid w:val="0064520B"/>
    <w:rsid w:val="00670E76"/>
    <w:rsid w:val="00672C55"/>
    <w:rsid w:val="00683CE8"/>
    <w:rsid w:val="006A1BE1"/>
    <w:rsid w:val="006A5C16"/>
    <w:rsid w:val="006B47FA"/>
    <w:rsid w:val="006D0B16"/>
    <w:rsid w:val="006D494C"/>
    <w:rsid w:val="006E3BD0"/>
    <w:rsid w:val="006E6782"/>
    <w:rsid w:val="00725E3A"/>
    <w:rsid w:val="00726EB7"/>
    <w:rsid w:val="00737523"/>
    <w:rsid w:val="00742B82"/>
    <w:rsid w:val="00775248"/>
    <w:rsid w:val="0079155C"/>
    <w:rsid w:val="00795180"/>
    <w:rsid w:val="007B5775"/>
    <w:rsid w:val="007C0616"/>
    <w:rsid w:val="007D45B3"/>
    <w:rsid w:val="007D6731"/>
    <w:rsid w:val="007F1843"/>
    <w:rsid w:val="00852497"/>
    <w:rsid w:val="00874F8F"/>
    <w:rsid w:val="008848AF"/>
    <w:rsid w:val="00884F87"/>
    <w:rsid w:val="008B4D23"/>
    <w:rsid w:val="008D49D1"/>
    <w:rsid w:val="008E44A4"/>
    <w:rsid w:val="00900726"/>
    <w:rsid w:val="00910031"/>
    <w:rsid w:val="009441C3"/>
    <w:rsid w:val="00950114"/>
    <w:rsid w:val="00956CC4"/>
    <w:rsid w:val="00980A95"/>
    <w:rsid w:val="009815AB"/>
    <w:rsid w:val="009C59FD"/>
    <w:rsid w:val="009D6C36"/>
    <w:rsid w:val="009D79BE"/>
    <w:rsid w:val="00A05663"/>
    <w:rsid w:val="00A211D7"/>
    <w:rsid w:val="00A23F74"/>
    <w:rsid w:val="00A401F2"/>
    <w:rsid w:val="00A46FE7"/>
    <w:rsid w:val="00A56028"/>
    <w:rsid w:val="00A57A16"/>
    <w:rsid w:val="00A60E36"/>
    <w:rsid w:val="00A61AC2"/>
    <w:rsid w:val="00A72486"/>
    <w:rsid w:val="00A95F63"/>
    <w:rsid w:val="00AC41D6"/>
    <w:rsid w:val="00AC6A72"/>
    <w:rsid w:val="00B00784"/>
    <w:rsid w:val="00B06766"/>
    <w:rsid w:val="00B07171"/>
    <w:rsid w:val="00B1172B"/>
    <w:rsid w:val="00B97BF4"/>
    <w:rsid w:val="00BA2CC4"/>
    <w:rsid w:val="00BA70E7"/>
    <w:rsid w:val="00BF3228"/>
    <w:rsid w:val="00C1090E"/>
    <w:rsid w:val="00C31D42"/>
    <w:rsid w:val="00C36F08"/>
    <w:rsid w:val="00C402A4"/>
    <w:rsid w:val="00C554CF"/>
    <w:rsid w:val="00C66C35"/>
    <w:rsid w:val="00C6740E"/>
    <w:rsid w:val="00C73C8D"/>
    <w:rsid w:val="00CB7E8D"/>
    <w:rsid w:val="00CC3CC4"/>
    <w:rsid w:val="00CF21EC"/>
    <w:rsid w:val="00CF3327"/>
    <w:rsid w:val="00D57040"/>
    <w:rsid w:val="00D70FCF"/>
    <w:rsid w:val="00D83AC1"/>
    <w:rsid w:val="00D87C5C"/>
    <w:rsid w:val="00D90073"/>
    <w:rsid w:val="00DA4E46"/>
    <w:rsid w:val="00DA5A46"/>
    <w:rsid w:val="00DE10D3"/>
    <w:rsid w:val="00E15274"/>
    <w:rsid w:val="00E3762D"/>
    <w:rsid w:val="00E54C6B"/>
    <w:rsid w:val="00E91C59"/>
    <w:rsid w:val="00E92B6E"/>
    <w:rsid w:val="00EA1438"/>
    <w:rsid w:val="00EC7DD6"/>
    <w:rsid w:val="00EF6290"/>
    <w:rsid w:val="00F159B7"/>
    <w:rsid w:val="00F170E2"/>
    <w:rsid w:val="00F24A73"/>
    <w:rsid w:val="00F5008F"/>
    <w:rsid w:val="00F51FB6"/>
    <w:rsid w:val="00F80703"/>
    <w:rsid w:val="00F86D62"/>
    <w:rsid w:val="00F87360"/>
    <w:rsid w:val="00FB254D"/>
    <w:rsid w:val="00FB534D"/>
    <w:rsid w:val="00FB68BA"/>
    <w:rsid w:val="00FD4F6B"/>
    <w:rsid w:val="00FE436D"/>
    <w:rsid w:val="00FE60D7"/>
    <w:rsid w:val="00FF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C5A"/>
    <w:pPr>
      <w:tabs>
        <w:tab w:val="center" w:pos="4252"/>
        <w:tab w:val="right" w:pos="8504"/>
      </w:tabs>
      <w:snapToGrid w:val="0"/>
    </w:pPr>
  </w:style>
  <w:style w:type="character" w:customStyle="1" w:styleId="a5">
    <w:name w:val="ヘッダー (文字)"/>
    <w:basedOn w:val="a0"/>
    <w:link w:val="a4"/>
    <w:uiPriority w:val="99"/>
    <w:rsid w:val="005C2C5A"/>
  </w:style>
  <w:style w:type="paragraph" w:styleId="a6">
    <w:name w:val="footer"/>
    <w:basedOn w:val="a"/>
    <w:link w:val="a7"/>
    <w:uiPriority w:val="99"/>
    <w:unhideWhenUsed/>
    <w:rsid w:val="005C2C5A"/>
    <w:pPr>
      <w:tabs>
        <w:tab w:val="center" w:pos="4252"/>
        <w:tab w:val="right" w:pos="8504"/>
      </w:tabs>
      <w:snapToGrid w:val="0"/>
    </w:pPr>
  </w:style>
  <w:style w:type="character" w:customStyle="1" w:styleId="a7">
    <w:name w:val="フッター (文字)"/>
    <w:basedOn w:val="a0"/>
    <w:link w:val="a6"/>
    <w:uiPriority w:val="99"/>
    <w:rsid w:val="005C2C5A"/>
  </w:style>
  <w:style w:type="paragraph" w:styleId="a8">
    <w:name w:val="List Paragraph"/>
    <w:basedOn w:val="a"/>
    <w:uiPriority w:val="34"/>
    <w:qFormat/>
    <w:rsid w:val="001D7E28"/>
    <w:pPr>
      <w:ind w:leftChars="400" w:left="840"/>
    </w:pPr>
  </w:style>
  <w:style w:type="paragraph" w:styleId="a9">
    <w:name w:val="Balloon Text"/>
    <w:basedOn w:val="a"/>
    <w:link w:val="aa"/>
    <w:uiPriority w:val="99"/>
    <w:semiHidden/>
    <w:unhideWhenUsed/>
    <w:rsid w:val="00DA5A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99D1B29-B2E9-43B7-9C89-51C75CE8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7721</Characters>
  <Application>Microsoft Office Word</Application>
  <DocSecurity>0</DocSecurity>
  <Lines>64</Lines>
  <Paragraphs>18</Paragraphs>
  <ScaleCrop>false</ScaleCrop>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2021-05-26T05:08:00Z</dcterms:created>
  <dcterms:modified xsi:type="dcterms:W3CDTF">2021-05-26T05:08:00Z</dcterms:modified>
</cp:coreProperties>
</file>