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CF43" w14:textId="77777777" w:rsidR="00327EEA" w:rsidRPr="00EC690A" w:rsidRDefault="00042B57">
      <w:pPr>
        <w:jc w:val="center"/>
        <w:rPr>
          <w:rFonts w:ascii="ＭＳ ゴシック" w:eastAsia="ＭＳ ゴシック" w:hAnsi="ＭＳ ゴシック"/>
        </w:rPr>
      </w:pPr>
      <w:r w:rsidRPr="00F23FF3">
        <w:rPr>
          <w:noProof/>
          <w:sz w:val="20"/>
        </w:rPr>
        <mc:AlternateContent>
          <mc:Choice Requires="wps">
            <w:drawing>
              <wp:anchor distT="0" distB="0" distL="114300" distR="114300" simplePos="0" relativeHeight="251657728" behindDoc="0" locked="0" layoutInCell="1" allowOverlap="1" wp14:anchorId="055A38C9" wp14:editId="71412BB1">
                <wp:simplePos x="0" y="0"/>
                <wp:positionH relativeFrom="column">
                  <wp:posOffset>5477510</wp:posOffset>
                </wp:positionH>
                <wp:positionV relativeFrom="paragraph">
                  <wp:posOffset>-367665</wp:posOffset>
                </wp:positionV>
                <wp:extent cx="720725" cy="367665"/>
                <wp:effectExtent l="5715" t="8890" r="698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367665"/>
                        </a:xfrm>
                        <a:prstGeom prst="rect">
                          <a:avLst/>
                        </a:prstGeom>
                        <a:solidFill>
                          <a:srgbClr val="FFFFFF"/>
                        </a:solidFill>
                        <a:ln w="9525">
                          <a:solidFill>
                            <a:srgbClr val="000000"/>
                          </a:solidFill>
                          <a:miter lim="800000"/>
                          <a:headEnd/>
                          <a:tailEnd/>
                        </a:ln>
                      </wps:spPr>
                      <wps:txbx>
                        <w:txbxContent>
                          <w:p w14:paraId="2FC8CD0C" w14:textId="77777777" w:rsidR="00327EEA" w:rsidRPr="00EC690A" w:rsidRDefault="00327EEA" w:rsidP="00EC690A">
                            <w:pPr>
                              <w:jc w:val="center"/>
                              <w:rPr>
                                <w:sz w:val="21"/>
                                <w:szCs w:val="21"/>
                              </w:rPr>
                            </w:pPr>
                            <w:r w:rsidRPr="00EC690A">
                              <w:rPr>
                                <w:rFonts w:hint="eastAsia"/>
                                <w:sz w:val="21"/>
                                <w:szCs w:val="21"/>
                              </w:rPr>
                              <w:t>資料</w:t>
                            </w:r>
                            <w:r w:rsidR="00692A94">
                              <w:rPr>
                                <w:rFonts w:hint="eastAsia"/>
                                <w:sz w:val="21"/>
                                <w:szCs w:val="21"/>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A38C9" id="_x0000_t202" coordsize="21600,21600" o:spt="202" path="m,l,21600r21600,l21600,xe">
                <v:stroke joinstyle="miter"/>
                <v:path gradientshapeok="t" o:connecttype="rect"/>
              </v:shapetype>
              <v:shape id="Text Box 2" o:spid="_x0000_s1026" type="#_x0000_t202" style="position:absolute;left:0;text-align:left;margin-left:431.3pt;margin-top:-28.95pt;width:56.75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">
                <v:textbox>
                  <w:txbxContent>
                    <w:p w14:paraId="2FC8CD0C" w14:textId="77777777" w:rsidR="00327EEA" w:rsidRPr="00EC690A" w:rsidRDefault="00327EEA" w:rsidP="00EC690A">
                      <w:pPr>
                        <w:jc w:val="center"/>
                        <w:rPr>
                          <w:sz w:val="21"/>
                          <w:szCs w:val="21"/>
                        </w:rPr>
                      </w:pPr>
                      <w:r w:rsidRPr="00EC690A">
                        <w:rPr>
                          <w:rFonts w:hint="eastAsia"/>
                          <w:sz w:val="21"/>
                          <w:szCs w:val="21"/>
                        </w:rPr>
                        <w:t>資料</w:t>
                      </w:r>
                      <w:r w:rsidR="00692A94">
                        <w:rPr>
                          <w:rFonts w:hint="eastAsia"/>
                          <w:sz w:val="21"/>
                          <w:szCs w:val="21"/>
                        </w:rPr>
                        <w:t>５</w:t>
                      </w:r>
                    </w:p>
                  </w:txbxContent>
                </v:textbox>
              </v:shape>
            </w:pict>
          </mc:Fallback>
        </mc:AlternateContent>
      </w:r>
      <w:r w:rsidR="000B2D41" w:rsidRPr="00EC690A">
        <w:rPr>
          <w:rFonts w:ascii="ＭＳ ゴシック" w:eastAsia="ＭＳ ゴシック" w:hAnsi="ＭＳ ゴシック" w:hint="eastAsia"/>
        </w:rPr>
        <w:t>収支計画</w:t>
      </w:r>
      <w:r w:rsidR="00327EEA" w:rsidRPr="00EC690A">
        <w:rPr>
          <w:rFonts w:ascii="ＭＳ ゴシック" w:eastAsia="ＭＳ ゴシック" w:hAnsi="ＭＳ ゴシック" w:hint="eastAsia"/>
        </w:rPr>
        <w:t>書作成に当たっての留意事項について</w:t>
      </w:r>
    </w:p>
    <w:p w14:paraId="44AC1DFF" w14:textId="77777777" w:rsidR="00327EEA" w:rsidRPr="00F23FF3" w:rsidRDefault="00327EEA"/>
    <w:p w14:paraId="1A07A5C4" w14:textId="20BE848C" w:rsidR="00327EEA" w:rsidRPr="00EC690A" w:rsidRDefault="000738D9">
      <w:pPr>
        <w:rPr>
          <w:sz w:val="21"/>
          <w:szCs w:val="21"/>
        </w:rPr>
      </w:pPr>
      <w:r>
        <w:rPr>
          <w:rFonts w:hint="eastAsia"/>
          <w:sz w:val="21"/>
          <w:szCs w:val="21"/>
        </w:rPr>
        <w:t xml:space="preserve">　</w:t>
      </w:r>
      <w:r w:rsidR="00327EEA" w:rsidRPr="00EC690A">
        <w:rPr>
          <w:rFonts w:hint="eastAsia"/>
          <w:sz w:val="21"/>
          <w:szCs w:val="21"/>
        </w:rPr>
        <w:t>募集要項の「</w:t>
      </w:r>
      <w:r w:rsidR="00692A94">
        <w:rPr>
          <w:rFonts w:hint="eastAsia"/>
          <w:sz w:val="21"/>
          <w:szCs w:val="21"/>
        </w:rPr>
        <w:t>７（６）</w:t>
      </w:r>
      <w:r w:rsidR="00A1341F" w:rsidRPr="00EC690A">
        <w:rPr>
          <w:rFonts w:hint="eastAsia"/>
          <w:sz w:val="21"/>
          <w:szCs w:val="21"/>
        </w:rPr>
        <w:t xml:space="preserve">　提出書類</w:t>
      </w:r>
      <w:r w:rsidR="00AC52D2" w:rsidRPr="00EC690A">
        <w:rPr>
          <w:rFonts w:hint="eastAsia"/>
          <w:sz w:val="21"/>
          <w:szCs w:val="21"/>
        </w:rPr>
        <w:t>」の</w:t>
      </w:r>
      <w:r w:rsidR="00A1341F" w:rsidRPr="00EC690A">
        <w:rPr>
          <w:rFonts w:hint="eastAsia"/>
          <w:sz w:val="21"/>
          <w:szCs w:val="21"/>
        </w:rPr>
        <w:t>1</w:t>
      </w:r>
      <w:r w:rsidR="008A66CA">
        <w:rPr>
          <w:rFonts w:hint="eastAsia"/>
          <w:sz w:val="21"/>
          <w:szCs w:val="21"/>
        </w:rPr>
        <w:t>8</w:t>
      </w:r>
      <w:r w:rsidR="00327EEA" w:rsidRPr="00EC690A">
        <w:rPr>
          <w:rFonts w:hint="eastAsia"/>
          <w:sz w:val="21"/>
          <w:szCs w:val="21"/>
        </w:rPr>
        <w:t>に定める収支</w:t>
      </w:r>
      <w:r w:rsidR="000B2D41" w:rsidRPr="00EC690A">
        <w:rPr>
          <w:rFonts w:hint="eastAsia"/>
          <w:sz w:val="21"/>
          <w:szCs w:val="21"/>
        </w:rPr>
        <w:t>計画</w:t>
      </w:r>
      <w:r w:rsidR="00C930C9">
        <w:rPr>
          <w:rFonts w:hint="eastAsia"/>
          <w:sz w:val="21"/>
          <w:szCs w:val="21"/>
        </w:rPr>
        <w:t>書については、次の事項に留意したうえ</w:t>
      </w:r>
      <w:r w:rsidR="00327EEA" w:rsidRPr="00EC690A">
        <w:rPr>
          <w:rFonts w:hint="eastAsia"/>
          <w:sz w:val="21"/>
          <w:szCs w:val="21"/>
        </w:rPr>
        <w:t>で作成してください。</w:t>
      </w:r>
    </w:p>
    <w:p w14:paraId="326F19C9" w14:textId="77777777" w:rsidR="00327EEA" w:rsidRPr="000738D9" w:rsidRDefault="00327EEA">
      <w:pPr>
        <w:rPr>
          <w:sz w:val="21"/>
          <w:szCs w:val="21"/>
        </w:rPr>
      </w:pPr>
    </w:p>
    <w:p w14:paraId="6B3CF5BB" w14:textId="77777777" w:rsidR="00327EEA" w:rsidRDefault="00327EEA">
      <w:pPr>
        <w:rPr>
          <w:sz w:val="21"/>
          <w:szCs w:val="21"/>
        </w:rPr>
      </w:pPr>
      <w:r w:rsidRPr="00EC690A">
        <w:rPr>
          <w:rFonts w:hint="eastAsia"/>
          <w:sz w:val="21"/>
          <w:szCs w:val="21"/>
        </w:rPr>
        <w:t>【共通】</w:t>
      </w:r>
    </w:p>
    <w:p w14:paraId="4BCEB788" w14:textId="2C616D6F" w:rsidR="00A1382F" w:rsidRDefault="00A1382F">
      <w:pPr>
        <w:rPr>
          <w:sz w:val="21"/>
          <w:szCs w:val="21"/>
        </w:rPr>
      </w:pPr>
      <w:r>
        <w:rPr>
          <w:rFonts w:hint="eastAsia"/>
          <w:sz w:val="21"/>
          <w:szCs w:val="21"/>
        </w:rPr>
        <w:t>（１）</w:t>
      </w:r>
      <w:r w:rsidR="003F342F">
        <w:rPr>
          <w:rFonts w:hint="eastAsia"/>
          <w:sz w:val="21"/>
          <w:szCs w:val="21"/>
        </w:rPr>
        <w:t>建物の維持保全</w:t>
      </w:r>
      <w:r>
        <w:rPr>
          <w:rFonts w:hint="eastAsia"/>
          <w:sz w:val="21"/>
          <w:szCs w:val="21"/>
        </w:rPr>
        <w:t>について</w:t>
      </w:r>
    </w:p>
    <w:p w14:paraId="43ABFF0D" w14:textId="493DE04F" w:rsidR="00A1382F" w:rsidRPr="00A1382F" w:rsidRDefault="00A1382F" w:rsidP="00560A1E">
      <w:pPr>
        <w:ind w:leftChars="100" w:left="444" w:hangingChars="100" w:hanging="207"/>
        <w:rPr>
          <w:sz w:val="21"/>
          <w:szCs w:val="21"/>
        </w:rPr>
      </w:pPr>
      <w:r w:rsidRPr="00A1382F">
        <w:rPr>
          <w:rFonts w:hint="eastAsia"/>
          <w:sz w:val="21"/>
          <w:szCs w:val="21"/>
        </w:rPr>
        <w:t>・本市が</w:t>
      </w:r>
      <w:r w:rsidR="003F342F">
        <w:rPr>
          <w:rFonts w:hint="eastAsia"/>
          <w:sz w:val="21"/>
          <w:szCs w:val="21"/>
        </w:rPr>
        <w:t>損傷に係る修繕等を実施し、その費用を</w:t>
      </w:r>
      <w:r w:rsidRPr="00A1382F">
        <w:rPr>
          <w:rFonts w:hint="eastAsia"/>
          <w:sz w:val="21"/>
          <w:szCs w:val="21"/>
        </w:rPr>
        <w:t>負担するものについては、基幹的な施設・機器等の損傷のうち、１件あたりの修繕が</w:t>
      </w:r>
      <w:r w:rsidR="003F342F">
        <w:rPr>
          <w:rFonts w:hint="eastAsia"/>
          <w:sz w:val="21"/>
          <w:szCs w:val="21"/>
        </w:rPr>
        <w:t>1,000,000</w:t>
      </w:r>
      <w:r w:rsidRPr="00A1382F">
        <w:rPr>
          <w:sz w:val="21"/>
          <w:szCs w:val="21"/>
        </w:rPr>
        <w:t>円（税込）以上のもの</w:t>
      </w:r>
      <w:r w:rsidR="003F342F">
        <w:rPr>
          <w:rFonts w:hint="eastAsia"/>
          <w:sz w:val="21"/>
          <w:szCs w:val="21"/>
        </w:rPr>
        <w:t>とします</w:t>
      </w:r>
      <w:r w:rsidRPr="00A1382F">
        <w:rPr>
          <w:sz w:val="21"/>
          <w:szCs w:val="21"/>
        </w:rPr>
        <w:t>。</w:t>
      </w:r>
    </w:p>
    <w:p w14:paraId="3864691E" w14:textId="6F72CC63" w:rsidR="00A1382F" w:rsidRPr="00A1382F" w:rsidRDefault="00A1382F" w:rsidP="00560A1E">
      <w:pPr>
        <w:ind w:leftChars="92" w:left="425" w:hangingChars="100" w:hanging="207"/>
        <w:rPr>
          <w:sz w:val="21"/>
          <w:szCs w:val="21"/>
        </w:rPr>
      </w:pPr>
      <w:r w:rsidRPr="00A1382F">
        <w:rPr>
          <w:rFonts w:hint="eastAsia"/>
          <w:sz w:val="21"/>
          <w:szCs w:val="21"/>
        </w:rPr>
        <w:t>・指定管理者</w:t>
      </w:r>
      <w:r w:rsidR="003F342F">
        <w:rPr>
          <w:rFonts w:hint="eastAsia"/>
          <w:sz w:val="21"/>
          <w:szCs w:val="21"/>
        </w:rPr>
        <w:t>が損傷に係る修繕等を実施し、その</w:t>
      </w:r>
      <w:r w:rsidRPr="00A1382F">
        <w:rPr>
          <w:rFonts w:hint="eastAsia"/>
          <w:sz w:val="21"/>
          <w:szCs w:val="21"/>
        </w:rPr>
        <w:t>負担</w:t>
      </w:r>
      <w:r w:rsidR="003F342F">
        <w:rPr>
          <w:rFonts w:hint="eastAsia"/>
          <w:sz w:val="21"/>
          <w:szCs w:val="21"/>
        </w:rPr>
        <w:t>を</w:t>
      </w:r>
      <w:r w:rsidRPr="00A1382F">
        <w:rPr>
          <w:rFonts w:hint="eastAsia"/>
          <w:sz w:val="21"/>
          <w:szCs w:val="21"/>
        </w:rPr>
        <w:t>するものについては、次の①～④とします。</w:t>
      </w:r>
    </w:p>
    <w:p w14:paraId="7F21841A" w14:textId="4C134FF2" w:rsidR="00A1382F" w:rsidRPr="00560A1E" w:rsidRDefault="00A1382F" w:rsidP="00560A1E">
      <w:pPr>
        <w:pStyle w:val="af0"/>
        <w:numPr>
          <w:ilvl w:val="0"/>
          <w:numId w:val="5"/>
        </w:numPr>
        <w:ind w:leftChars="0" w:hanging="141"/>
        <w:rPr>
          <w:sz w:val="21"/>
          <w:szCs w:val="21"/>
        </w:rPr>
      </w:pPr>
      <w:r w:rsidRPr="00560A1E">
        <w:rPr>
          <w:sz w:val="21"/>
          <w:szCs w:val="21"/>
        </w:rPr>
        <w:t>基幹的な施設・機器等の損傷のうち、１件あたりの修繕が</w:t>
      </w:r>
      <w:r w:rsidR="00590B2D">
        <w:rPr>
          <w:rFonts w:hint="eastAsia"/>
          <w:sz w:val="21"/>
          <w:szCs w:val="21"/>
        </w:rPr>
        <w:t>1,000,000</w:t>
      </w:r>
      <w:r w:rsidRPr="00560A1E">
        <w:rPr>
          <w:sz w:val="21"/>
          <w:szCs w:val="21"/>
        </w:rPr>
        <w:t>円（税込）未満のもの。（ただし、損傷への対応が緊急に必要であり、かつ収支計画における当該年度の維持補修費の上限額を超える場合にあっては、本市が対応することができるものとします。）</w:t>
      </w:r>
    </w:p>
    <w:p w14:paraId="43D5E257" w14:textId="0A9E39C9" w:rsidR="00A1382F" w:rsidRDefault="00A1382F" w:rsidP="00560A1E">
      <w:pPr>
        <w:pStyle w:val="af0"/>
        <w:numPr>
          <w:ilvl w:val="0"/>
          <w:numId w:val="5"/>
        </w:numPr>
        <w:ind w:leftChars="0" w:hanging="141"/>
        <w:rPr>
          <w:sz w:val="21"/>
          <w:szCs w:val="21"/>
        </w:rPr>
      </w:pPr>
      <w:r w:rsidRPr="00560A1E">
        <w:rPr>
          <w:sz w:val="21"/>
          <w:szCs w:val="21"/>
        </w:rPr>
        <w:t>基幹的な施設・機器等以外の施設・機器・器具・什器・備品等の損傷。</w:t>
      </w:r>
    </w:p>
    <w:p w14:paraId="7F58F80C" w14:textId="04EFE4DE" w:rsidR="00A1382F" w:rsidRDefault="00A1382F" w:rsidP="00560A1E">
      <w:pPr>
        <w:pStyle w:val="af0"/>
        <w:numPr>
          <w:ilvl w:val="0"/>
          <w:numId w:val="5"/>
        </w:numPr>
        <w:ind w:leftChars="0" w:hanging="141"/>
        <w:rPr>
          <w:sz w:val="21"/>
          <w:szCs w:val="21"/>
        </w:rPr>
      </w:pPr>
      <w:r w:rsidRPr="00560A1E">
        <w:rPr>
          <w:sz w:val="21"/>
          <w:szCs w:val="21"/>
        </w:rPr>
        <w:t>基幹的な施設・機器等の附属物（設備の消耗品など）の損傷。</w:t>
      </w:r>
    </w:p>
    <w:p w14:paraId="1330D967" w14:textId="67E35B08" w:rsidR="00A1382F" w:rsidRPr="00560A1E" w:rsidRDefault="00A1382F" w:rsidP="00560A1E">
      <w:pPr>
        <w:pStyle w:val="af0"/>
        <w:numPr>
          <w:ilvl w:val="0"/>
          <w:numId w:val="5"/>
        </w:numPr>
        <w:ind w:leftChars="0" w:hanging="141"/>
        <w:rPr>
          <w:sz w:val="21"/>
          <w:szCs w:val="21"/>
        </w:rPr>
      </w:pPr>
      <w:r w:rsidRPr="00560A1E">
        <w:rPr>
          <w:sz w:val="21"/>
          <w:szCs w:val="21"/>
        </w:rPr>
        <w:t>施設管理に関わって必要な消耗品の補充交換。</w:t>
      </w:r>
    </w:p>
    <w:p w14:paraId="5D2F2912" w14:textId="7A0FC9C2" w:rsidR="00186E22" w:rsidRDefault="00186E22" w:rsidP="00186E22">
      <w:pPr>
        <w:ind w:leftChars="100" w:left="444" w:hangingChars="100" w:hanging="207"/>
        <w:rPr>
          <w:sz w:val="21"/>
          <w:szCs w:val="21"/>
        </w:rPr>
      </w:pPr>
      <w:r>
        <w:rPr>
          <w:rFonts w:hint="eastAsia"/>
          <w:sz w:val="21"/>
          <w:szCs w:val="21"/>
        </w:rPr>
        <w:t>・</w:t>
      </w:r>
      <w:r w:rsidR="00A1382F" w:rsidRPr="00A1382F">
        <w:rPr>
          <w:sz w:val="21"/>
          <w:szCs w:val="21"/>
        </w:rPr>
        <w:t>収支計画の作成にあたっては、上記①～③の維持補修費として、各年度</w:t>
      </w:r>
      <w:r>
        <w:rPr>
          <w:rFonts w:hint="eastAsia"/>
          <w:sz w:val="21"/>
          <w:szCs w:val="21"/>
        </w:rPr>
        <w:t>3,000,000</w:t>
      </w:r>
      <w:r w:rsidR="00A1382F" w:rsidRPr="00A1382F">
        <w:rPr>
          <w:sz w:val="21"/>
          <w:szCs w:val="21"/>
        </w:rPr>
        <w:t>円（税抜）を計上してください。各年度の余剰分は翌年度以降の実施として調整できるものとし、指定期間中における総額は15,000,000円(税抜)とします。</w:t>
      </w:r>
    </w:p>
    <w:p w14:paraId="5410ED67" w14:textId="474C824A" w:rsidR="00A1382F" w:rsidRPr="00A1382F" w:rsidRDefault="00A1382F" w:rsidP="00560A1E">
      <w:pPr>
        <w:ind w:leftChars="200" w:left="474"/>
        <w:rPr>
          <w:sz w:val="21"/>
          <w:szCs w:val="21"/>
        </w:rPr>
      </w:pPr>
      <w:r w:rsidRPr="00A1382F">
        <w:rPr>
          <w:sz w:val="21"/>
          <w:szCs w:val="21"/>
        </w:rPr>
        <w:t>なお、それによる各年度における業務代行料の支払額の変動は行わないものとします。</w:t>
      </w:r>
    </w:p>
    <w:p w14:paraId="1D307174" w14:textId="1CE236D7" w:rsidR="00A1382F" w:rsidRDefault="00186E22" w:rsidP="00560A1E">
      <w:pPr>
        <w:ind w:leftChars="100" w:left="444" w:hangingChars="100" w:hanging="207"/>
        <w:rPr>
          <w:sz w:val="21"/>
          <w:szCs w:val="21"/>
        </w:rPr>
      </w:pPr>
      <w:r>
        <w:rPr>
          <w:rFonts w:hint="eastAsia"/>
          <w:sz w:val="21"/>
          <w:szCs w:val="21"/>
        </w:rPr>
        <w:t>・</w:t>
      </w:r>
      <w:r w:rsidR="00A1382F" w:rsidRPr="00A1382F">
        <w:rPr>
          <w:sz w:val="21"/>
          <w:szCs w:val="21"/>
        </w:rPr>
        <w:t>維持補修費の精算については、指定期間最終年度において、総額が15,000,000円（税</w:t>
      </w:r>
      <w:r w:rsidR="00A1382F" w:rsidRPr="00A1382F">
        <w:rPr>
          <w:rFonts w:hint="eastAsia"/>
          <w:sz w:val="21"/>
          <w:szCs w:val="21"/>
        </w:rPr>
        <w:t>抜）を下回った場合は、その下回った額を本市に納付していただきます。また、維持補修費の総額が</w:t>
      </w:r>
      <w:r w:rsidR="00A1382F" w:rsidRPr="00A1382F">
        <w:rPr>
          <w:sz w:val="21"/>
          <w:szCs w:val="21"/>
        </w:rPr>
        <w:t>15,000,000（税抜）円を上回ることが想定される場合は、指定管理者が修繕を実施する前に、修繕の実施の可否や業務代行料の取り扱いについて本市と協議するものとします。</w:t>
      </w:r>
    </w:p>
    <w:p w14:paraId="55FC249A" w14:textId="2D5E88AF" w:rsidR="00A1382F" w:rsidRDefault="00186E22">
      <w:pPr>
        <w:rPr>
          <w:sz w:val="21"/>
          <w:szCs w:val="21"/>
        </w:rPr>
      </w:pPr>
      <w:r>
        <w:rPr>
          <w:rFonts w:hint="eastAsia"/>
          <w:sz w:val="21"/>
          <w:szCs w:val="21"/>
        </w:rPr>
        <w:t>（２）事業所税について</w:t>
      </w:r>
    </w:p>
    <w:p w14:paraId="37897F9B" w14:textId="25753343" w:rsidR="00327EEA" w:rsidRDefault="00837864" w:rsidP="00837864">
      <w:pPr>
        <w:ind w:leftChars="100" w:left="444" w:hangingChars="100" w:hanging="207"/>
        <w:rPr>
          <w:sz w:val="21"/>
          <w:szCs w:val="21"/>
        </w:rPr>
      </w:pPr>
      <w:r>
        <w:rPr>
          <w:rFonts w:hint="eastAsia"/>
          <w:sz w:val="21"/>
          <w:szCs w:val="21"/>
        </w:rPr>
        <w:t>・</w:t>
      </w:r>
      <w:r w:rsidR="00FE3DBF">
        <w:rPr>
          <w:rFonts w:hint="eastAsia"/>
          <w:sz w:val="21"/>
          <w:szCs w:val="21"/>
        </w:rPr>
        <w:t>事業所税</w:t>
      </w:r>
      <w:r w:rsidR="00186E22">
        <w:rPr>
          <w:rFonts w:hint="eastAsia"/>
          <w:sz w:val="21"/>
          <w:szCs w:val="21"/>
        </w:rPr>
        <w:t>の詳細</w:t>
      </w:r>
      <w:r w:rsidR="00FE3DBF">
        <w:rPr>
          <w:rFonts w:hint="eastAsia"/>
          <w:sz w:val="21"/>
          <w:szCs w:val="21"/>
        </w:rPr>
        <w:t>については、資料</w:t>
      </w:r>
      <w:r w:rsidR="00CE65A9">
        <w:rPr>
          <w:rFonts w:hint="eastAsia"/>
          <w:sz w:val="21"/>
          <w:szCs w:val="21"/>
        </w:rPr>
        <w:t>９</w:t>
      </w:r>
      <w:r w:rsidR="00FE3DBF">
        <w:rPr>
          <w:rFonts w:hint="eastAsia"/>
          <w:sz w:val="21"/>
          <w:szCs w:val="21"/>
        </w:rPr>
        <w:t>を参照してください。</w:t>
      </w:r>
    </w:p>
    <w:p w14:paraId="73E730FC" w14:textId="77777777" w:rsidR="00C841FB" w:rsidRPr="00513649" w:rsidRDefault="00C841FB">
      <w:pPr>
        <w:rPr>
          <w:sz w:val="21"/>
          <w:szCs w:val="21"/>
        </w:rPr>
      </w:pPr>
    </w:p>
    <w:p w14:paraId="31F731CE" w14:textId="58A2AD82" w:rsidR="00327EEA" w:rsidRPr="00EC690A" w:rsidRDefault="00007D39">
      <w:pPr>
        <w:rPr>
          <w:sz w:val="21"/>
          <w:szCs w:val="21"/>
        </w:rPr>
      </w:pPr>
      <w:r>
        <w:rPr>
          <w:rFonts w:hint="eastAsia"/>
          <w:sz w:val="21"/>
          <w:szCs w:val="21"/>
        </w:rPr>
        <w:t>【様式７</w:t>
      </w:r>
      <w:r w:rsidR="00327EEA" w:rsidRPr="00EC690A">
        <w:rPr>
          <w:rFonts w:hint="eastAsia"/>
          <w:sz w:val="21"/>
          <w:szCs w:val="21"/>
        </w:rPr>
        <w:t>－１】</w:t>
      </w:r>
    </w:p>
    <w:p w14:paraId="33C51109" w14:textId="0F651F58" w:rsidR="00327EEA" w:rsidRPr="00EC690A" w:rsidRDefault="00F23FF3">
      <w:pPr>
        <w:ind w:leftChars="100" w:left="444" w:hangingChars="100" w:hanging="207"/>
        <w:rPr>
          <w:sz w:val="21"/>
          <w:szCs w:val="21"/>
        </w:rPr>
      </w:pPr>
      <w:r w:rsidRPr="00321014">
        <w:rPr>
          <w:rFonts w:hint="eastAsia"/>
          <w:sz w:val="21"/>
          <w:szCs w:val="21"/>
        </w:rPr>
        <w:t>・</w:t>
      </w:r>
      <w:r w:rsidR="00327EEA" w:rsidRPr="00321014">
        <w:rPr>
          <w:rFonts w:hint="eastAsia"/>
          <w:sz w:val="21"/>
          <w:szCs w:val="21"/>
        </w:rPr>
        <w:t>収支</w:t>
      </w:r>
      <w:r w:rsidR="004712A2" w:rsidRPr="00321014">
        <w:rPr>
          <w:rFonts w:hint="eastAsia"/>
          <w:sz w:val="21"/>
          <w:szCs w:val="21"/>
        </w:rPr>
        <w:t>計画</w:t>
      </w:r>
      <w:r w:rsidR="00BE1AF6" w:rsidRPr="00321014">
        <w:rPr>
          <w:rFonts w:hint="eastAsia"/>
          <w:sz w:val="21"/>
          <w:szCs w:val="21"/>
        </w:rPr>
        <w:t>書により算定される</w:t>
      </w:r>
      <w:r w:rsidR="009E7B62" w:rsidRPr="00321014">
        <w:rPr>
          <w:rFonts w:hint="eastAsia"/>
          <w:sz w:val="21"/>
          <w:szCs w:val="21"/>
        </w:rPr>
        <w:t>業務代行料</w:t>
      </w:r>
      <w:r w:rsidR="00BE1AF6" w:rsidRPr="00321014">
        <w:rPr>
          <w:rFonts w:hint="eastAsia"/>
          <w:sz w:val="21"/>
          <w:szCs w:val="21"/>
        </w:rPr>
        <w:t>は参考見積もりと</w:t>
      </w:r>
      <w:r w:rsidR="00BE1AF6" w:rsidRPr="00EC690A">
        <w:rPr>
          <w:rFonts w:hint="eastAsia"/>
          <w:sz w:val="21"/>
          <w:szCs w:val="21"/>
        </w:rPr>
        <w:t>して取り扱い</w:t>
      </w:r>
      <w:r w:rsidR="00327EEA" w:rsidRPr="00EC690A">
        <w:rPr>
          <w:rFonts w:hint="eastAsia"/>
          <w:sz w:val="21"/>
          <w:szCs w:val="21"/>
        </w:rPr>
        <w:t>、実際の額は、指定管理(予定)</w:t>
      </w:r>
      <w:r w:rsidR="00BE1AF6" w:rsidRPr="00EC690A">
        <w:rPr>
          <w:rFonts w:hint="eastAsia"/>
          <w:sz w:val="21"/>
          <w:szCs w:val="21"/>
        </w:rPr>
        <w:t>者と協議の上で締結した協定に基づき算定します。</w:t>
      </w:r>
    </w:p>
    <w:p w14:paraId="40584D9E" w14:textId="1DB04C80" w:rsidR="001A2764" w:rsidRDefault="001A2764">
      <w:pPr>
        <w:widowControl/>
        <w:jc w:val="left"/>
        <w:rPr>
          <w:sz w:val="21"/>
          <w:szCs w:val="21"/>
        </w:rPr>
      </w:pPr>
      <w:r>
        <w:rPr>
          <w:sz w:val="21"/>
          <w:szCs w:val="21"/>
        </w:rPr>
        <w:br w:type="page"/>
      </w:r>
    </w:p>
    <w:p w14:paraId="75146658" w14:textId="77777777" w:rsidR="001A2764" w:rsidRDefault="001A2764">
      <w:pPr>
        <w:ind w:left="207" w:hangingChars="100" w:hanging="207"/>
        <w:rPr>
          <w:sz w:val="21"/>
          <w:szCs w:val="21"/>
        </w:rPr>
      </w:pPr>
    </w:p>
    <w:p w14:paraId="596CADE0" w14:textId="5FF92BDB" w:rsidR="00327EEA" w:rsidRPr="00EC690A" w:rsidRDefault="00007D39">
      <w:pPr>
        <w:ind w:left="207" w:hangingChars="100" w:hanging="207"/>
        <w:rPr>
          <w:sz w:val="21"/>
          <w:szCs w:val="21"/>
        </w:rPr>
      </w:pPr>
      <w:r>
        <w:rPr>
          <w:rFonts w:hint="eastAsia"/>
          <w:sz w:val="21"/>
          <w:szCs w:val="21"/>
        </w:rPr>
        <w:t>【様式７</w:t>
      </w:r>
      <w:r w:rsidR="00327EEA" w:rsidRPr="00EC690A">
        <w:rPr>
          <w:rFonts w:hint="eastAsia"/>
          <w:sz w:val="21"/>
          <w:szCs w:val="21"/>
        </w:rPr>
        <w:t>－２】</w:t>
      </w:r>
    </w:p>
    <w:p w14:paraId="39574065" w14:textId="01181BCD" w:rsidR="00327EEA" w:rsidRPr="00EC690A" w:rsidRDefault="00F23FF3">
      <w:pPr>
        <w:ind w:leftChars="100" w:left="444" w:hangingChars="100" w:hanging="207"/>
        <w:rPr>
          <w:sz w:val="21"/>
          <w:szCs w:val="21"/>
        </w:rPr>
      </w:pPr>
      <w:r w:rsidRPr="00EC690A">
        <w:rPr>
          <w:rFonts w:hint="eastAsia"/>
          <w:sz w:val="21"/>
          <w:szCs w:val="21"/>
        </w:rPr>
        <w:t>・</w:t>
      </w:r>
      <w:r w:rsidR="00007D39" w:rsidRPr="00C841FB">
        <w:rPr>
          <w:rFonts w:hint="eastAsia"/>
          <w:sz w:val="21"/>
          <w:szCs w:val="21"/>
        </w:rPr>
        <w:t>年度別に作成し、様式７</w:t>
      </w:r>
      <w:r w:rsidR="00BE1AF6" w:rsidRPr="00EC690A">
        <w:rPr>
          <w:rFonts w:hint="eastAsia"/>
          <w:sz w:val="21"/>
          <w:szCs w:val="21"/>
        </w:rPr>
        <w:t>－１に添えて提出してください。具体的には</w:t>
      </w:r>
      <w:r w:rsidR="00007D39">
        <w:rPr>
          <w:rFonts w:hint="eastAsia"/>
          <w:sz w:val="21"/>
          <w:szCs w:val="21"/>
        </w:rPr>
        <w:t>様式７</w:t>
      </w:r>
      <w:r w:rsidR="00AC52D2" w:rsidRPr="00EC690A">
        <w:rPr>
          <w:rFonts w:hint="eastAsia"/>
          <w:sz w:val="21"/>
          <w:szCs w:val="21"/>
        </w:rPr>
        <w:t>－１の次に様式</w:t>
      </w:r>
      <w:r w:rsidR="00007D39">
        <w:rPr>
          <w:rFonts w:hint="eastAsia"/>
          <w:sz w:val="21"/>
          <w:szCs w:val="21"/>
        </w:rPr>
        <w:t>７</w:t>
      </w:r>
      <w:r w:rsidR="00327EEA" w:rsidRPr="00EC690A">
        <w:rPr>
          <w:rFonts w:hint="eastAsia"/>
          <w:sz w:val="21"/>
          <w:szCs w:val="21"/>
        </w:rPr>
        <w:t>－２の</w:t>
      </w:r>
      <w:r w:rsidR="004712A2" w:rsidRPr="00EC690A">
        <w:rPr>
          <w:rFonts w:hint="eastAsia"/>
          <w:sz w:val="21"/>
          <w:szCs w:val="21"/>
        </w:rPr>
        <w:t>令和</w:t>
      </w:r>
      <w:r w:rsidR="000E0493">
        <w:rPr>
          <w:rFonts w:hint="eastAsia"/>
          <w:sz w:val="21"/>
          <w:szCs w:val="21"/>
        </w:rPr>
        <w:t>８</w:t>
      </w:r>
      <w:r w:rsidR="00327EEA" w:rsidRPr="00EC690A">
        <w:rPr>
          <w:rFonts w:hint="eastAsia"/>
          <w:sz w:val="21"/>
          <w:szCs w:val="21"/>
        </w:rPr>
        <w:t>年度</w:t>
      </w:r>
      <w:r w:rsidR="006B7D64" w:rsidRPr="00EC690A">
        <w:rPr>
          <w:rFonts w:hint="eastAsia"/>
          <w:sz w:val="21"/>
          <w:szCs w:val="21"/>
        </w:rPr>
        <w:t>から順に</w:t>
      </w:r>
      <w:r w:rsidR="00BE1AF6" w:rsidRPr="00EC690A">
        <w:rPr>
          <w:rFonts w:hint="eastAsia"/>
          <w:sz w:val="21"/>
          <w:szCs w:val="21"/>
        </w:rPr>
        <w:t>綴ってください。</w:t>
      </w:r>
    </w:p>
    <w:p w14:paraId="634E2A3F" w14:textId="66DE7DFE" w:rsidR="00327EEA" w:rsidRPr="00EC690A" w:rsidRDefault="00F23FF3">
      <w:pPr>
        <w:ind w:leftChars="100" w:left="444" w:hangingChars="100" w:hanging="207"/>
        <w:rPr>
          <w:sz w:val="21"/>
          <w:szCs w:val="21"/>
        </w:rPr>
      </w:pPr>
      <w:r w:rsidRPr="00EC690A">
        <w:rPr>
          <w:rFonts w:hint="eastAsia"/>
          <w:sz w:val="21"/>
          <w:szCs w:val="21"/>
        </w:rPr>
        <w:t>・</w:t>
      </w:r>
      <w:r w:rsidR="00327EEA" w:rsidRPr="00EC690A">
        <w:rPr>
          <w:rFonts w:hint="eastAsia"/>
          <w:sz w:val="21"/>
          <w:szCs w:val="21"/>
        </w:rPr>
        <w:t>葬祭場の利用</w:t>
      </w:r>
      <w:r w:rsidR="00BE1AF6" w:rsidRPr="00EC690A">
        <w:rPr>
          <w:rFonts w:hint="eastAsia"/>
          <w:sz w:val="21"/>
          <w:szCs w:val="21"/>
        </w:rPr>
        <w:t>料金については、本市の基準に従って減免する必要のある場合がありますが、</w:t>
      </w:r>
      <w:r w:rsidR="00C93943">
        <w:rPr>
          <w:rFonts w:hint="eastAsia"/>
          <w:sz w:val="21"/>
          <w:szCs w:val="21"/>
        </w:rPr>
        <w:t>業務代行料</w:t>
      </w:r>
      <w:r w:rsidR="00BE1AF6" w:rsidRPr="00EC690A">
        <w:rPr>
          <w:rFonts w:hint="eastAsia"/>
          <w:sz w:val="21"/>
          <w:szCs w:val="21"/>
        </w:rPr>
        <w:t>の算定に当たっては、この減収分は考慮しません。なお、葬祭場では</w:t>
      </w:r>
      <w:r w:rsidR="00327EEA" w:rsidRPr="00EC690A">
        <w:rPr>
          <w:rFonts w:hint="eastAsia"/>
          <w:sz w:val="21"/>
          <w:szCs w:val="21"/>
        </w:rPr>
        <w:t>、平成14年１月の開設以来、</w:t>
      </w:r>
      <w:r w:rsidR="00825355">
        <w:rPr>
          <w:rFonts w:hint="eastAsia"/>
          <w:sz w:val="21"/>
          <w:szCs w:val="21"/>
        </w:rPr>
        <w:t>令和</w:t>
      </w:r>
      <w:r w:rsidR="00531860">
        <w:rPr>
          <w:rFonts w:hint="eastAsia"/>
          <w:sz w:val="21"/>
          <w:szCs w:val="21"/>
        </w:rPr>
        <w:t>７</w:t>
      </w:r>
      <w:r w:rsidR="00327EEA" w:rsidRPr="00EC690A">
        <w:rPr>
          <w:rFonts w:hint="eastAsia"/>
          <w:sz w:val="21"/>
          <w:szCs w:val="21"/>
        </w:rPr>
        <w:t>年</w:t>
      </w:r>
      <w:r w:rsidR="00FC604B">
        <w:rPr>
          <w:rFonts w:hint="eastAsia"/>
          <w:sz w:val="21"/>
          <w:szCs w:val="21"/>
        </w:rPr>
        <w:t>５</w:t>
      </w:r>
      <w:r w:rsidR="00BE1AF6" w:rsidRPr="00020E2F">
        <w:rPr>
          <w:rFonts w:hint="eastAsia"/>
          <w:sz w:val="21"/>
          <w:szCs w:val="21"/>
        </w:rPr>
        <w:t>月末まで</w:t>
      </w:r>
      <w:r w:rsidR="00BE1AF6" w:rsidRPr="007D1BB3">
        <w:rPr>
          <w:rFonts w:hint="eastAsia"/>
          <w:sz w:val="21"/>
          <w:szCs w:val="21"/>
        </w:rPr>
        <w:t>減免実績はありません</w:t>
      </w:r>
      <w:r w:rsidR="00327EEA" w:rsidRPr="007D1BB3">
        <w:rPr>
          <w:rFonts w:hint="eastAsia"/>
          <w:sz w:val="21"/>
          <w:szCs w:val="21"/>
        </w:rPr>
        <w:t>。</w:t>
      </w:r>
    </w:p>
    <w:p w14:paraId="48B79EA2" w14:textId="77777777" w:rsidR="00327EEA" w:rsidRPr="00EC690A" w:rsidRDefault="00F23FF3" w:rsidP="00213867">
      <w:pPr>
        <w:ind w:leftChars="100" w:left="444" w:rightChars="-120" w:right="-284" w:hangingChars="100" w:hanging="207"/>
        <w:rPr>
          <w:sz w:val="21"/>
          <w:szCs w:val="21"/>
        </w:rPr>
      </w:pPr>
      <w:r w:rsidRPr="00EC690A">
        <w:rPr>
          <w:rFonts w:hint="eastAsia"/>
          <w:sz w:val="21"/>
          <w:szCs w:val="21"/>
        </w:rPr>
        <w:t>・</w:t>
      </w:r>
      <w:r w:rsidR="00BE1AF6" w:rsidRPr="00EC690A">
        <w:rPr>
          <w:rFonts w:hint="eastAsia"/>
          <w:sz w:val="21"/>
          <w:szCs w:val="21"/>
        </w:rPr>
        <w:t>利用料金の単位、単価等を変更する旨を</w:t>
      </w:r>
      <w:r w:rsidR="00327EEA" w:rsidRPr="00EC690A">
        <w:rPr>
          <w:rFonts w:hint="eastAsia"/>
          <w:sz w:val="21"/>
          <w:szCs w:val="21"/>
        </w:rPr>
        <w:t>申請した</w:t>
      </w:r>
      <w:r w:rsidR="00BE1AF6" w:rsidRPr="00EC690A">
        <w:rPr>
          <w:rFonts w:hint="eastAsia"/>
          <w:sz w:val="21"/>
          <w:szCs w:val="21"/>
        </w:rPr>
        <w:t>場合においても、本市から再調整を行う指示があれば、従っていただきます。なお、</w:t>
      </w:r>
      <w:r w:rsidR="00C73DF2">
        <w:rPr>
          <w:rFonts w:hint="eastAsia"/>
          <w:sz w:val="21"/>
          <w:szCs w:val="21"/>
        </w:rPr>
        <w:t>業務代行料</w:t>
      </w:r>
      <w:r w:rsidR="00BE1AF6" w:rsidRPr="00EC690A">
        <w:rPr>
          <w:rFonts w:hint="eastAsia"/>
          <w:sz w:val="21"/>
          <w:szCs w:val="21"/>
        </w:rPr>
        <w:t>はその影響を考慮して算定を行います。</w:t>
      </w:r>
    </w:p>
    <w:p w14:paraId="474D8E55" w14:textId="77777777" w:rsidR="00327EEA" w:rsidRPr="00DA7B86" w:rsidRDefault="00F23FF3" w:rsidP="00DA7B86">
      <w:pPr>
        <w:ind w:leftChars="100" w:left="444" w:hangingChars="100" w:hanging="207"/>
        <w:rPr>
          <w:sz w:val="21"/>
          <w:szCs w:val="21"/>
        </w:rPr>
      </w:pPr>
      <w:r w:rsidRPr="00EC690A">
        <w:rPr>
          <w:rFonts w:hint="eastAsia"/>
          <w:sz w:val="21"/>
          <w:szCs w:val="21"/>
        </w:rPr>
        <w:t>・</w:t>
      </w:r>
      <w:r w:rsidR="00BE1AF6" w:rsidRPr="00EC690A">
        <w:rPr>
          <w:rFonts w:hint="eastAsia"/>
          <w:sz w:val="21"/>
          <w:szCs w:val="21"/>
        </w:rPr>
        <w:t>自主事業等に係る収入</w:t>
      </w:r>
      <w:r w:rsidR="00DA7B86">
        <w:rPr>
          <w:rFonts w:hint="eastAsia"/>
          <w:sz w:val="21"/>
          <w:szCs w:val="21"/>
        </w:rPr>
        <w:t>がある場合は、全て</w:t>
      </w:r>
      <w:r w:rsidR="00BE1AF6" w:rsidRPr="00EC690A">
        <w:rPr>
          <w:rFonts w:hint="eastAsia"/>
          <w:sz w:val="21"/>
          <w:szCs w:val="21"/>
        </w:rPr>
        <w:t>計上してください</w:t>
      </w:r>
      <w:r w:rsidR="00327EEA" w:rsidRPr="00EC690A">
        <w:rPr>
          <w:rFonts w:hint="eastAsia"/>
          <w:sz w:val="21"/>
          <w:szCs w:val="21"/>
        </w:rPr>
        <w:t>。</w:t>
      </w:r>
    </w:p>
    <w:sectPr w:rsidR="00327EEA" w:rsidRPr="00DA7B86" w:rsidSect="003F342F">
      <w:type w:val="nextColumn"/>
      <w:pgSz w:w="11906" w:h="16838" w:code="9"/>
      <w:pgMar w:top="1418" w:right="1418" w:bottom="1134" w:left="1418" w:header="113" w:footer="113" w:gutter="0"/>
      <w:cols w:space="425"/>
      <w:docGrid w:type="linesAndChars" w:linePitch="432" w:charSpace="-6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C9F4" w14:textId="77777777" w:rsidR="00E32895" w:rsidRDefault="00E32895" w:rsidP="00EF79D8">
      <w:r>
        <w:separator/>
      </w:r>
    </w:p>
  </w:endnote>
  <w:endnote w:type="continuationSeparator" w:id="0">
    <w:p w14:paraId="16079DA6" w14:textId="77777777" w:rsidR="00E32895" w:rsidRDefault="00E32895" w:rsidP="00EF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4BFD" w14:textId="77777777" w:rsidR="00E32895" w:rsidRDefault="00E32895" w:rsidP="00EF79D8">
      <w:r>
        <w:separator/>
      </w:r>
    </w:p>
  </w:footnote>
  <w:footnote w:type="continuationSeparator" w:id="0">
    <w:p w14:paraId="0C9E4304" w14:textId="77777777" w:rsidR="00E32895" w:rsidRDefault="00E32895" w:rsidP="00EF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6D3"/>
    <w:multiLevelType w:val="hybridMultilevel"/>
    <w:tmpl w:val="1A82307E"/>
    <w:lvl w:ilvl="0" w:tplc="07EC6CB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D7678C"/>
    <w:multiLevelType w:val="hybridMultilevel"/>
    <w:tmpl w:val="8A8A42CA"/>
    <w:lvl w:ilvl="0" w:tplc="8B0A7B0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0523101"/>
    <w:multiLevelType w:val="hybridMultilevel"/>
    <w:tmpl w:val="3B1E6F2E"/>
    <w:lvl w:ilvl="0" w:tplc="0E066FF2">
      <w:start w:val="1"/>
      <w:numFmt w:val="decimalEnclosedCircle"/>
      <w:lvlText w:val="%1"/>
      <w:lvlJc w:val="left"/>
      <w:pPr>
        <w:ind w:left="834" w:hanging="360"/>
      </w:pPr>
      <w:rPr>
        <w:rFonts w:hint="default"/>
      </w:rPr>
    </w:lvl>
    <w:lvl w:ilvl="1" w:tplc="04090017" w:tentative="1">
      <w:start w:val="1"/>
      <w:numFmt w:val="aiueoFullWidth"/>
      <w:lvlText w:val="(%2)"/>
      <w:lvlJc w:val="left"/>
      <w:pPr>
        <w:ind w:left="1354" w:hanging="440"/>
      </w:pPr>
    </w:lvl>
    <w:lvl w:ilvl="2" w:tplc="04090011" w:tentative="1">
      <w:start w:val="1"/>
      <w:numFmt w:val="decimalEnclosedCircle"/>
      <w:lvlText w:val="%3"/>
      <w:lvlJc w:val="left"/>
      <w:pPr>
        <w:ind w:left="1794" w:hanging="440"/>
      </w:pPr>
    </w:lvl>
    <w:lvl w:ilvl="3" w:tplc="0409000F" w:tentative="1">
      <w:start w:val="1"/>
      <w:numFmt w:val="decimal"/>
      <w:lvlText w:val="%4."/>
      <w:lvlJc w:val="left"/>
      <w:pPr>
        <w:ind w:left="2234" w:hanging="440"/>
      </w:pPr>
    </w:lvl>
    <w:lvl w:ilvl="4" w:tplc="04090017" w:tentative="1">
      <w:start w:val="1"/>
      <w:numFmt w:val="aiueoFullWidth"/>
      <w:lvlText w:val="(%5)"/>
      <w:lvlJc w:val="left"/>
      <w:pPr>
        <w:ind w:left="2674" w:hanging="440"/>
      </w:pPr>
    </w:lvl>
    <w:lvl w:ilvl="5" w:tplc="04090011" w:tentative="1">
      <w:start w:val="1"/>
      <w:numFmt w:val="decimalEnclosedCircle"/>
      <w:lvlText w:val="%6"/>
      <w:lvlJc w:val="left"/>
      <w:pPr>
        <w:ind w:left="3114" w:hanging="440"/>
      </w:pPr>
    </w:lvl>
    <w:lvl w:ilvl="6" w:tplc="0409000F" w:tentative="1">
      <w:start w:val="1"/>
      <w:numFmt w:val="decimal"/>
      <w:lvlText w:val="%7."/>
      <w:lvlJc w:val="left"/>
      <w:pPr>
        <w:ind w:left="3554" w:hanging="440"/>
      </w:pPr>
    </w:lvl>
    <w:lvl w:ilvl="7" w:tplc="04090017" w:tentative="1">
      <w:start w:val="1"/>
      <w:numFmt w:val="aiueoFullWidth"/>
      <w:lvlText w:val="(%8)"/>
      <w:lvlJc w:val="left"/>
      <w:pPr>
        <w:ind w:left="3994" w:hanging="440"/>
      </w:pPr>
    </w:lvl>
    <w:lvl w:ilvl="8" w:tplc="04090011" w:tentative="1">
      <w:start w:val="1"/>
      <w:numFmt w:val="decimalEnclosedCircle"/>
      <w:lvlText w:val="%9"/>
      <w:lvlJc w:val="left"/>
      <w:pPr>
        <w:ind w:left="4434" w:hanging="440"/>
      </w:pPr>
    </w:lvl>
  </w:abstractNum>
  <w:abstractNum w:abstractNumId="3" w15:restartNumberingAfterBreak="0">
    <w:nsid w:val="6A120A7A"/>
    <w:multiLevelType w:val="hybridMultilevel"/>
    <w:tmpl w:val="43F6B8CC"/>
    <w:lvl w:ilvl="0" w:tplc="84D09F56">
      <w:start w:val="1"/>
      <w:numFmt w:val="decimalEnclosedCircle"/>
      <w:lvlText w:val="%1"/>
      <w:lvlJc w:val="left"/>
      <w:pPr>
        <w:ind w:left="567"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4" w15:restartNumberingAfterBreak="0">
    <w:nsid w:val="76BD7EDE"/>
    <w:multiLevelType w:val="hybridMultilevel"/>
    <w:tmpl w:val="0F9E8C60"/>
    <w:lvl w:ilvl="0" w:tplc="A30ED25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978139683">
    <w:abstractNumId w:val="1"/>
  </w:num>
  <w:num w:numId="2" w16cid:durableId="1112171125">
    <w:abstractNumId w:val="4"/>
  </w:num>
  <w:num w:numId="3" w16cid:durableId="625431060">
    <w:abstractNumId w:val="2"/>
  </w:num>
  <w:num w:numId="4" w16cid:durableId="1626040930">
    <w:abstractNumId w:val="0"/>
  </w:num>
  <w:num w:numId="5" w16cid:durableId="1972900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227"/>
  <w:drawingGridVerticalSpacing w:val="216"/>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4F"/>
    <w:rsid w:val="00005AA9"/>
    <w:rsid w:val="00007D39"/>
    <w:rsid w:val="00007E33"/>
    <w:rsid w:val="000129A1"/>
    <w:rsid w:val="00014B73"/>
    <w:rsid w:val="00020E2F"/>
    <w:rsid w:val="00040419"/>
    <w:rsid w:val="00042B57"/>
    <w:rsid w:val="000604DD"/>
    <w:rsid w:val="00063B5B"/>
    <w:rsid w:val="0006415F"/>
    <w:rsid w:val="000738D9"/>
    <w:rsid w:val="00074BA4"/>
    <w:rsid w:val="00082E5D"/>
    <w:rsid w:val="000A0B08"/>
    <w:rsid w:val="000A3E3D"/>
    <w:rsid w:val="000B2D41"/>
    <w:rsid w:val="000B2F33"/>
    <w:rsid w:val="000C04E8"/>
    <w:rsid w:val="000C6A58"/>
    <w:rsid w:val="000D4338"/>
    <w:rsid w:val="000D7184"/>
    <w:rsid w:val="000E0493"/>
    <w:rsid w:val="000F318C"/>
    <w:rsid w:val="000F79CC"/>
    <w:rsid w:val="0010496A"/>
    <w:rsid w:val="00105D1C"/>
    <w:rsid w:val="00111B02"/>
    <w:rsid w:val="00137D25"/>
    <w:rsid w:val="00142200"/>
    <w:rsid w:val="00152CA8"/>
    <w:rsid w:val="001610D9"/>
    <w:rsid w:val="00172504"/>
    <w:rsid w:val="00185827"/>
    <w:rsid w:val="00186E22"/>
    <w:rsid w:val="001A2764"/>
    <w:rsid w:val="001A4875"/>
    <w:rsid w:val="001F1866"/>
    <w:rsid w:val="001F511D"/>
    <w:rsid w:val="001F7774"/>
    <w:rsid w:val="00213867"/>
    <w:rsid w:val="00227FB6"/>
    <w:rsid w:val="0025174F"/>
    <w:rsid w:val="0025508B"/>
    <w:rsid w:val="0027086A"/>
    <w:rsid w:val="00290327"/>
    <w:rsid w:val="00294CCA"/>
    <w:rsid w:val="002A1F3E"/>
    <w:rsid w:val="002A572E"/>
    <w:rsid w:val="002B6ADA"/>
    <w:rsid w:val="002D59A0"/>
    <w:rsid w:val="002D7254"/>
    <w:rsid w:val="0030102B"/>
    <w:rsid w:val="003018F5"/>
    <w:rsid w:val="00321014"/>
    <w:rsid w:val="00321338"/>
    <w:rsid w:val="0032351C"/>
    <w:rsid w:val="00327EEA"/>
    <w:rsid w:val="00345509"/>
    <w:rsid w:val="00363E0D"/>
    <w:rsid w:val="003643BF"/>
    <w:rsid w:val="00381744"/>
    <w:rsid w:val="003827CD"/>
    <w:rsid w:val="00384490"/>
    <w:rsid w:val="003B69F6"/>
    <w:rsid w:val="003E7AEC"/>
    <w:rsid w:val="003F342F"/>
    <w:rsid w:val="003F59C2"/>
    <w:rsid w:val="00436720"/>
    <w:rsid w:val="0044708C"/>
    <w:rsid w:val="004523C7"/>
    <w:rsid w:val="0045272D"/>
    <w:rsid w:val="00465238"/>
    <w:rsid w:val="004712A2"/>
    <w:rsid w:val="00485048"/>
    <w:rsid w:val="004B6497"/>
    <w:rsid w:val="004C2653"/>
    <w:rsid w:val="004F2BFF"/>
    <w:rsid w:val="004F3EC2"/>
    <w:rsid w:val="004F488E"/>
    <w:rsid w:val="00510F57"/>
    <w:rsid w:val="00513649"/>
    <w:rsid w:val="0052199D"/>
    <w:rsid w:val="00531860"/>
    <w:rsid w:val="00560A1E"/>
    <w:rsid w:val="00585D4B"/>
    <w:rsid w:val="00590B2D"/>
    <w:rsid w:val="005A3858"/>
    <w:rsid w:val="005A4622"/>
    <w:rsid w:val="005A67AA"/>
    <w:rsid w:val="005C03D1"/>
    <w:rsid w:val="005C0BB6"/>
    <w:rsid w:val="005D0015"/>
    <w:rsid w:val="005E2902"/>
    <w:rsid w:val="00604800"/>
    <w:rsid w:val="00605D00"/>
    <w:rsid w:val="00605F40"/>
    <w:rsid w:val="0062211D"/>
    <w:rsid w:val="00625612"/>
    <w:rsid w:val="0062650F"/>
    <w:rsid w:val="00644B09"/>
    <w:rsid w:val="00667EF7"/>
    <w:rsid w:val="00680096"/>
    <w:rsid w:val="00681397"/>
    <w:rsid w:val="00681D48"/>
    <w:rsid w:val="00684D36"/>
    <w:rsid w:val="00691253"/>
    <w:rsid w:val="00692A94"/>
    <w:rsid w:val="00697754"/>
    <w:rsid w:val="006B7D64"/>
    <w:rsid w:val="006D0F56"/>
    <w:rsid w:val="006D5879"/>
    <w:rsid w:val="006E737B"/>
    <w:rsid w:val="006F0D34"/>
    <w:rsid w:val="006F3076"/>
    <w:rsid w:val="006F47CB"/>
    <w:rsid w:val="0070397B"/>
    <w:rsid w:val="007209A5"/>
    <w:rsid w:val="00722944"/>
    <w:rsid w:val="00730A7C"/>
    <w:rsid w:val="00733FDD"/>
    <w:rsid w:val="0074610B"/>
    <w:rsid w:val="0074650F"/>
    <w:rsid w:val="0075795A"/>
    <w:rsid w:val="00770604"/>
    <w:rsid w:val="00775993"/>
    <w:rsid w:val="0079175D"/>
    <w:rsid w:val="007A338E"/>
    <w:rsid w:val="007A7489"/>
    <w:rsid w:val="007D1BB3"/>
    <w:rsid w:val="007E0EED"/>
    <w:rsid w:val="007F7C7F"/>
    <w:rsid w:val="00804C65"/>
    <w:rsid w:val="0082108C"/>
    <w:rsid w:val="00825355"/>
    <w:rsid w:val="00837864"/>
    <w:rsid w:val="008406C8"/>
    <w:rsid w:val="00844E23"/>
    <w:rsid w:val="00866303"/>
    <w:rsid w:val="00882489"/>
    <w:rsid w:val="008A267E"/>
    <w:rsid w:val="008A5D1B"/>
    <w:rsid w:val="008A66CA"/>
    <w:rsid w:val="008B05BE"/>
    <w:rsid w:val="008B2869"/>
    <w:rsid w:val="008B38B3"/>
    <w:rsid w:val="008C1C59"/>
    <w:rsid w:val="008C3611"/>
    <w:rsid w:val="008D2034"/>
    <w:rsid w:val="00901CF8"/>
    <w:rsid w:val="009179ED"/>
    <w:rsid w:val="00917C4C"/>
    <w:rsid w:val="00943593"/>
    <w:rsid w:val="0095040E"/>
    <w:rsid w:val="009719B5"/>
    <w:rsid w:val="009726E7"/>
    <w:rsid w:val="00995702"/>
    <w:rsid w:val="009A0E09"/>
    <w:rsid w:val="009A23D9"/>
    <w:rsid w:val="009A5368"/>
    <w:rsid w:val="009A768E"/>
    <w:rsid w:val="009B7F38"/>
    <w:rsid w:val="009C192D"/>
    <w:rsid w:val="009C3DD4"/>
    <w:rsid w:val="009D3329"/>
    <w:rsid w:val="009D3D13"/>
    <w:rsid w:val="009D794E"/>
    <w:rsid w:val="009E636D"/>
    <w:rsid w:val="009E7B62"/>
    <w:rsid w:val="00A1341F"/>
    <w:rsid w:val="00A1382F"/>
    <w:rsid w:val="00A46FAA"/>
    <w:rsid w:val="00A46FFC"/>
    <w:rsid w:val="00A54580"/>
    <w:rsid w:val="00A56D06"/>
    <w:rsid w:val="00A613E9"/>
    <w:rsid w:val="00A7238B"/>
    <w:rsid w:val="00A824ED"/>
    <w:rsid w:val="00A86D38"/>
    <w:rsid w:val="00A97195"/>
    <w:rsid w:val="00AA714F"/>
    <w:rsid w:val="00AB10F4"/>
    <w:rsid w:val="00AB27B8"/>
    <w:rsid w:val="00AC52D2"/>
    <w:rsid w:val="00AC7604"/>
    <w:rsid w:val="00AD2660"/>
    <w:rsid w:val="00AD4BB5"/>
    <w:rsid w:val="00B066DC"/>
    <w:rsid w:val="00B14F0B"/>
    <w:rsid w:val="00B201A9"/>
    <w:rsid w:val="00B21F3C"/>
    <w:rsid w:val="00B36005"/>
    <w:rsid w:val="00B4039B"/>
    <w:rsid w:val="00B432CC"/>
    <w:rsid w:val="00B538E1"/>
    <w:rsid w:val="00B53C97"/>
    <w:rsid w:val="00B70A1B"/>
    <w:rsid w:val="00B86F06"/>
    <w:rsid w:val="00B91BE5"/>
    <w:rsid w:val="00BE1AF6"/>
    <w:rsid w:val="00C106F8"/>
    <w:rsid w:val="00C377E8"/>
    <w:rsid w:val="00C43314"/>
    <w:rsid w:val="00C51B9A"/>
    <w:rsid w:val="00C557CF"/>
    <w:rsid w:val="00C678DB"/>
    <w:rsid w:val="00C72CA6"/>
    <w:rsid w:val="00C73DF2"/>
    <w:rsid w:val="00C841FB"/>
    <w:rsid w:val="00C930C9"/>
    <w:rsid w:val="00C93943"/>
    <w:rsid w:val="00C9564A"/>
    <w:rsid w:val="00C95753"/>
    <w:rsid w:val="00C96B5C"/>
    <w:rsid w:val="00CA2C06"/>
    <w:rsid w:val="00CA2C8F"/>
    <w:rsid w:val="00CC0192"/>
    <w:rsid w:val="00CD75D8"/>
    <w:rsid w:val="00CE65A9"/>
    <w:rsid w:val="00CF204C"/>
    <w:rsid w:val="00D334E6"/>
    <w:rsid w:val="00D33543"/>
    <w:rsid w:val="00D46B8A"/>
    <w:rsid w:val="00D6024C"/>
    <w:rsid w:val="00D65671"/>
    <w:rsid w:val="00D84BEA"/>
    <w:rsid w:val="00D95855"/>
    <w:rsid w:val="00DA7B86"/>
    <w:rsid w:val="00DC0EBE"/>
    <w:rsid w:val="00DD1950"/>
    <w:rsid w:val="00DD7EC9"/>
    <w:rsid w:val="00DE56B9"/>
    <w:rsid w:val="00DF13B7"/>
    <w:rsid w:val="00E067DD"/>
    <w:rsid w:val="00E13407"/>
    <w:rsid w:val="00E158A6"/>
    <w:rsid w:val="00E2466F"/>
    <w:rsid w:val="00E275A9"/>
    <w:rsid w:val="00E3038C"/>
    <w:rsid w:val="00E3211F"/>
    <w:rsid w:val="00E32895"/>
    <w:rsid w:val="00E40FE7"/>
    <w:rsid w:val="00E715BA"/>
    <w:rsid w:val="00E727F7"/>
    <w:rsid w:val="00E8649A"/>
    <w:rsid w:val="00EA52FF"/>
    <w:rsid w:val="00EB4612"/>
    <w:rsid w:val="00EC690A"/>
    <w:rsid w:val="00ED47E4"/>
    <w:rsid w:val="00EF4414"/>
    <w:rsid w:val="00EF79D8"/>
    <w:rsid w:val="00F23FF3"/>
    <w:rsid w:val="00F36D8C"/>
    <w:rsid w:val="00F401F6"/>
    <w:rsid w:val="00F66D5D"/>
    <w:rsid w:val="00FA4B1E"/>
    <w:rsid w:val="00FA77FB"/>
    <w:rsid w:val="00FC604B"/>
    <w:rsid w:val="00FD49CC"/>
    <w:rsid w:val="00FE06C1"/>
    <w:rsid w:val="00FE3DBF"/>
    <w:rsid w:val="00FF5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72AD0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D8"/>
    <w:pPr>
      <w:tabs>
        <w:tab w:val="center" w:pos="4252"/>
        <w:tab w:val="right" w:pos="8504"/>
      </w:tabs>
      <w:snapToGrid w:val="0"/>
    </w:pPr>
  </w:style>
  <w:style w:type="character" w:customStyle="1" w:styleId="a4">
    <w:name w:val="ヘッダー (文字)"/>
    <w:link w:val="a3"/>
    <w:rsid w:val="00EF79D8"/>
    <w:rPr>
      <w:rFonts w:ascii="ＭＳ 明朝" w:hAnsi="ＭＳ 明朝"/>
      <w:kern w:val="2"/>
      <w:sz w:val="24"/>
      <w:szCs w:val="24"/>
    </w:rPr>
  </w:style>
  <w:style w:type="paragraph" w:styleId="a5">
    <w:name w:val="footer"/>
    <w:basedOn w:val="a"/>
    <w:link w:val="a6"/>
    <w:rsid w:val="00EF79D8"/>
    <w:pPr>
      <w:tabs>
        <w:tab w:val="center" w:pos="4252"/>
        <w:tab w:val="right" w:pos="8504"/>
      </w:tabs>
      <w:snapToGrid w:val="0"/>
    </w:pPr>
  </w:style>
  <w:style w:type="character" w:customStyle="1" w:styleId="a6">
    <w:name w:val="フッター (文字)"/>
    <w:link w:val="a5"/>
    <w:rsid w:val="00EF79D8"/>
    <w:rPr>
      <w:rFonts w:ascii="ＭＳ 明朝" w:hAnsi="ＭＳ 明朝"/>
      <w:kern w:val="2"/>
      <w:sz w:val="24"/>
      <w:szCs w:val="24"/>
    </w:rPr>
  </w:style>
  <w:style w:type="paragraph" w:styleId="a7">
    <w:name w:val="Balloon Text"/>
    <w:basedOn w:val="a"/>
    <w:link w:val="a8"/>
    <w:rsid w:val="00C106F8"/>
    <w:rPr>
      <w:rFonts w:ascii="Arial" w:eastAsia="ＭＳ ゴシック" w:hAnsi="Arial"/>
      <w:sz w:val="18"/>
      <w:szCs w:val="18"/>
    </w:rPr>
  </w:style>
  <w:style w:type="character" w:customStyle="1" w:styleId="a8">
    <w:name w:val="吹き出し (文字)"/>
    <w:link w:val="a7"/>
    <w:rsid w:val="00C106F8"/>
    <w:rPr>
      <w:rFonts w:ascii="Arial" w:eastAsia="ＭＳ ゴシック" w:hAnsi="Arial" w:cs="Times New Roman"/>
      <w:kern w:val="2"/>
      <w:sz w:val="18"/>
      <w:szCs w:val="18"/>
    </w:rPr>
  </w:style>
  <w:style w:type="character" w:styleId="a9">
    <w:name w:val="annotation reference"/>
    <w:rsid w:val="00605F40"/>
    <w:rPr>
      <w:sz w:val="18"/>
      <w:szCs w:val="18"/>
    </w:rPr>
  </w:style>
  <w:style w:type="paragraph" w:styleId="aa">
    <w:name w:val="annotation text"/>
    <w:basedOn w:val="a"/>
    <w:link w:val="ab"/>
    <w:rsid w:val="00605F40"/>
    <w:pPr>
      <w:jc w:val="left"/>
    </w:pPr>
  </w:style>
  <w:style w:type="character" w:customStyle="1" w:styleId="ab">
    <w:name w:val="コメント文字列 (文字)"/>
    <w:link w:val="aa"/>
    <w:rsid w:val="00605F40"/>
    <w:rPr>
      <w:rFonts w:ascii="ＭＳ 明朝" w:hAnsi="ＭＳ 明朝"/>
      <w:kern w:val="2"/>
      <w:sz w:val="24"/>
      <w:szCs w:val="24"/>
    </w:rPr>
  </w:style>
  <w:style w:type="paragraph" w:styleId="ac">
    <w:name w:val="annotation subject"/>
    <w:basedOn w:val="aa"/>
    <w:next w:val="aa"/>
    <w:link w:val="ad"/>
    <w:rsid w:val="00605F40"/>
    <w:rPr>
      <w:b/>
      <w:bCs/>
    </w:rPr>
  </w:style>
  <w:style w:type="character" w:customStyle="1" w:styleId="ad">
    <w:name w:val="コメント内容 (文字)"/>
    <w:link w:val="ac"/>
    <w:rsid w:val="00605F40"/>
    <w:rPr>
      <w:rFonts w:ascii="ＭＳ 明朝" w:hAnsi="ＭＳ 明朝"/>
      <w:b/>
      <w:bCs/>
      <w:kern w:val="2"/>
      <w:sz w:val="24"/>
      <w:szCs w:val="24"/>
    </w:rPr>
  </w:style>
  <w:style w:type="paragraph" w:styleId="ae">
    <w:name w:val="Revision"/>
    <w:hidden/>
    <w:uiPriority w:val="99"/>
    <w:semiHidden/>
    <w:rsid w:val="00014B73"/>
    <w:rPr>
      <w:rFonts w:ascii="ＭＳ 明朝" w:hAnsi="ＭＳ 明朝"/>
      <w:kern w:val="2"/>
      <w:sz w:val="24"/>
      <w:szCs w:val="24"/>
    </w:rPr>
  </w:style>
  <w:style w:type="table" w:styleId="af">
    <w:name w:val="Table Grid"/>
    <w:basedOn w:val="a1"/>
    <w:uiPriority w:val="39"/>
    <w:rsid w:val="00C841FB"/>
    <w:rPr>
      <w:rFonts w:ascii="ＭＳ 明朝" w:hAnsi="ＭＳ 明朝"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B4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0A67-783F-430C-B3FD-7D3BC7C5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1119</Words>
  <Characters>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2022-06-28T04:18:00Z</dcterms:created>
  <dcterms:modified xsi:type="dcterms:W3CDTF">2025-05-21T01:53:00Z</dcterms:modified>
</cp:coreProperties>
</file>