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16" w:rsidRPr="007515D4" w:rsidRDefault="00F64C01" w:rsidP="0022228A">
      <w:pPr>
        <w:pStyle w:val="P"/>
        <w:suppressAutoHyphens w:val="0"/>
        <w:kinsoku/>
        <w:wordWrap/>
        <w:autoSpaceDE/>
        <w:autoSpaceDN/>
        <w:adjustRightInd/>
        <w:spacing w:line="248" w:lineRule="exact"/>
        <w:ind w:left="2884" w:hanging="2033"/>
        <w:jc w:val="both"/>
        <w:rPr>
          <w:rFonts w:asciiTheme="majorEastAsia" w:eastAsiaTheme="majorEastAsia" w:hAnsiTheme="majorEastAsia"/>
          <w:color w:val="000000"/>
          <w:spacing w:val="2"/>
          <w:sz w:val="21"/>
          <w:szCs w:val="21"/>
        </w:rPr>
      </w:pPr>
      <w:r w:rsidRPr="007515D4">
        <w:rPr>
          <w:rStyle w:val="TT"/>
          <w:rFonts w:asciiTheme="majorEastAsia" w:eastAsiaTheme="majorEastAsia" w:hAnsiTheme="majorEastAsia" w:cs="ＭＳ ゴシック" w:hint="eastAsia"/>
          <w:color w:val="000000"/>
          <w:sz w:val="21"/>
          <w:szCs w:val="21"/>
        </w:rPr>
        <w:t>診療及び臨床研究並びに病院の管理及び運営に関する諸記録の管理方法に関する書</w:t>
      </w:r>
      <w:r w:rsidR="00601D16" w:rsidRPr="007515D4">
        <w:rPr>
          <w:rStyle w:val="TT"/>
          <w:rFonts w:asciiTheme="majorEastAsia" w:eastAsiaTheme="majorEastAsia" w:hAnsiTheme="majorEastAsia" w:cs="ＭＳ ゴシック" w:hint="eastAsia"/>
          <w:color w:val="000000"/>
          <w:sz w:val="21"/>
          <w:szCs w:val="21"/>
        </w:rPr>
        <w:t>類</w:t>
      </w:r>
    </w:p>
    <w:p w:rsidR="00601D16" w:rsidRPr="007515D4" w:rsidRDefault="00601D16">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7"/>
        <w:gridCol w:w="2535"/>
        <w:gridCol w:w="5647"/>
      </w:tblGrid>
      <w:tr w:rsidR="00601D16" w:rsidRPr="00BD4DCF"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bookmarkStart w:id="0" w:name="_GoBack" w:colFirst="0" w:colLast="3"/>
            <w:r w:rsidRPr="007515D4">
              <w:rPr>
                <w:rFonts w:asciiTheme="majorEastAsia" w:eastAsiaTheme="majorEastAsia" w:hAnsiTheme="majorEastAsia" w:hint="eastAsia"/>
              </w:rPr>
              <w:t>計画・現状の別</w:t>
            </w:r>
          </w:p>
        </w:tc>
        <w:tc>
          <w:tcPr>
            <w:tcW w:w="2535"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１．計画</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２．現状</w:t>
            </w:r>
          </w:p>
        </w:tc>
        <w:tc>
          <w:tcPr>
            <w:tcW w:w="5647" w:type="dxa"/>
            <w:tcBorders>
              <w:top w:val="nil"/>
              <w:left w:val="single" w:sz="4" w:space="0" w:color="000000"/>
              <w:bottom w:val="single" w:sz="4" w:space="0" w:color="000000"/>
              <w:right w:val="nil"/>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5A31F0">
        <w:trPr>
          <w:trHeight w:val="262"/>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管理責任者氏名</w:t>
            </w:r>
          </w:p>
        </w:tc>
        <w:tc>
          <w:tcPr>
            <w:tcW w:w="8182"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601D16" w:rsidRPr="00BD4DCF" w:rsidTr="005A31F0">
        <w:trPr>
          <w:trHeight w:val="279"/>
        </w:trPr>
        <w:tc>
          <w:tcPr>
            <w:tcW w:w="2247" w:type="dxa"/>
            <w:tcBorders>
              <w:top w:val="single" w:sz="4" w:space="0" w:color="000000"/>
              <w:left w:val="single" w:sz="4" w:space="0" w:color="000000"/>
              <w:bottom w:val="single" w:sz="4" w:space="0" w:color="000000"/>
              <w:right w:val="single" w:sz="4" w:space="0" w:color="000000"/>
            </w:tcBorders>
          </w:tcPr>
          <w:p w:rsidR="00601D16" w:rsidRPr="007515D4" w:rsidRDefault="00601D16" w:rsidP="0022228A">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管理担当者氏名</w:t>
            </w:r>
          </w:p>
        </w:tc>
        <w:tc>
          <w:tcPr>
            <w:tcW w:w="8182" w:type="dxa"/>
            <w:gridSpan w:val="2"/>
            <w:tcBorders>
              <w:top w:val="single" w:sz="4" w:space="0" w:color="000000"/>
              <w:left w:val="single" w:sz="4" w:space="0" w:color="000000"/>
              <w:bottom w:val="single" w:sz="4" w:space="0" w:color="000000"/>
              <w:right w:val="single" w:sz="4" w:space="0" w:color="000000"/>
            </w:tcBorders>
          </w:tcPr>
          <w:p w:rsidR="00601D16" w:rsidRPr="007515D4" w:rsidRDefault="00601D16">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bookmarkEnd w:id="0"/>
    </w:tbl>
    <w:p w:rsidR="00601D16" w:rsidRPr="007515D4" w:rsidRDefault="00601D16">
      <w:pPr>
        <w:adjustRightInd/>
        <w:spacing w:line="248" w:lineRule="exact"/>
        <w:rPr>
          <w:rFonts w:asciiTheme="majorEastAsia" w:eastAsiaTheme="majorEastAsia" w:hAnsiTheme="majorEastAsia" w:cs="Times New Roman"/>
          <w:spacing w:val="2"/>
        </w:rPr>
      </w:pPr>
    </w:p>
    <w:p w:rsidR="00113980" w:rsidRPr="007515D4" w:rsidRDefault="00113980" w:rsidP="00113980">
      <w:pPr>
        <w:adjustRightInd/>
        <w:spacing w:line="248" w:lineRule="exact"/>
        <w:rPr>
          <w:rFonts w:asciiTheme="majorEastAsia" w:eastAsiaTheme="majorEastAsia" w:hAnsiTheme="majorEastAsia"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7"/>
        <w:gridCol w:w="613"/>
        <w:gridCol w:w="3377"/>
        <w:gridCol w:w="2608"/>
        <w:gridCol w:w="2607"/>
      </w:tblGrid>
      <w:tr w:rsidR="00113980" w:rsidRPr="00BD4DCF" w:rsidTr="007515D4">
        <w:trPr>
          <w:trHeight w:val="76"/>
        </w:trPr>
        <w:tc>
          <w:tcPr>
            <w:tcW w:w="5217" w:type="dxa"/>
            <w:gridSpan w:val="3"/>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Borders>
              <w:top w:val="single" w:sz="4" w:space="0" w:color="000000"/>
              <w:left w:val="single" w:sz="4" w:space="0" w:color="000000"/>
              <w:bottom w:val="single" w:sz="4" w:space="0" w:color="000000"/>
              <w:right w:val="single" w:sz="4" w:space="0" w:color="000000"/>
            </w:tcBorders>
          </w:tcPr>
          <w:p w:rsidR="00113980" w:rsidRPr="007515D4" w:rsidRDefault="00113980"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診療に関する諸記録</w:t>
            </w:r>
          </w:p>
        </w:tc>
        <w:tc>
          <w:tcPr>
            <w:tcW w:w="613" w:type="dxa"/>
            <w:vMerge w:val="restart"/>
            <w:tcBorders>
              <w:top w:val="single" w:sz="4" w:space="0" w:color="000000"/>
              <w:left w:val="single" w:sz="4" w:space="0" w:color="000000"/>
              <w:right w:val="single" w:sz="4" w:space="0" w:color="000000"/>
            </w:tcBorders>
            <w:textDirection w:val="tbRlV"/>
            <w:vAlign w:val="center"/>
          </w:tcPr>
          <w:p w:rsidR="00927939" w:rsidRPr="007515D4" w:rsidRDefault="00927939" w:rsidP="00BA3A91">
            <w:pPr>
              <w:suppressAutoHyphens/>
              <w:kinsoku w:val="0"/>
              <w:wordWrap w:val="0"/>
              <w:autoSpaceDE w:val="0"/>
              <w:autoSpaceDN w:val="0"/>
              <w:spacing w:line="248" w:lineRule="exact"/>
              <w:ind w:left="113" w:right="113"/>
              <w:rPr>
                <w:rFonts w:asciiTheme="majorEastAsia" w:eastAsiaTheme="majorEastAsia" w:hAnsiTheme="majorEastAsia"/>
              </w:rPr>
            </w:pPr>
            <w:r w:rsidRPr="007515D4">
              <w:rPr>
                <w:rFonts w:asciiTheme="majorEastAsia" w:eastAsiaTheme="majorEastAsia" w:hAnsiTheme="majorEastAsia" w:hint="eastAsia"/>
              </w:rPr>
              <w:t>規則第二十二条の</w:t>
            </w:r>
            <w:r w:rsidR="00412026" w:rsidRPr="007515D4">
              <w:rPr>
                <w:rFonts w:asciiTheme="majorEastAsia" w:eastAsiaTheme="majorEastAsia" w:hAnsiTheme="majorEastAsia" w:hint="eastAsia"/>
              </w:rPr>
              <w:t>七</w:t>
            </w:r>
            <w:r w:rsidRPr="007515D4">
              <w:rPr>
                <w:rFonts w:asciiTheme="majorEastAsia" w:eastAsiaTheme="majorEastAsia" w:hAnsiTheme="majorEastAsia" w:hint="eastAsia"/>
              </w:rPr>
              <w:t>第二号に掲げる事項</w:t>
            </w: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病院日誌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各科診療日誌</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処方せん</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手術記録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看護記録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検査所見記録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rPr>
            </w:pPr>
            <w:r w:rsidRPr="007515D4">
              <w:rPr>
                <w:rFonts w:asciiTheme="majorEastAsia" w:eastAsiaTheme="majorEastAsia" w:hAnsiTheme="majorEastAsia" w:hint="eastAsia"/>
              </w:rPr>
              <w:t>エックス線写真</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紹介状</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退院した患者に係る入院期間中の診療経過の要約及び入院診療計画書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71"/>
        </w:trPr>
        <w:tc>
          <w:tcPr>
            <w:tcW w:w="1227" w:type="dxa"/>
            <w:vMerge w:val="restart"/>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臨床研究に関する諸記録</w:t>
            </w: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研究計画書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同意説明文書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症例報告書</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倫理審査委員会に関する記録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利益相反に関する記録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重篤な有害事象への対応に関する記録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927939" w:rsidRPr="00BD4DCF" w:rsidTr="007515D4">
        <w:trPr>
          <w:trHeight w:val="43"/>
        </w:trPr>
        <w:tc>
          <w:tcPr>
            <w:tcW w:w="122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927939"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cs="Times New Roman" w:hint="eastAsia"/>
                <w:color w:val="auto"/>
              </w:rPr>
              <w:t>医薬品の臨床試験の実施の基準に関する省令、医療機器の臨床試験の実施の基準に関する省令及び再生医療等製品の臨床試験の実施の基準に関する省令に基づき医療機関において保存することとされている諸記録</w:t>
            </w:r>
          </w:p>
        </w:tc>
        <w:tc>
          <w:tcPr>
            <w:tcW w:w="2608" w:type="dxa"/>
            <w:tcBorders>
              <w:top w:val="single" w:sz="4" w:space="0" w:color="000000"/>
              <w:left w:val="single" w:sz="4" w:space="0" w:color="000000"/>
              <w:bottom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927939" w:rsidRPr="007515D4" w:rsidRDefault="00927939"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90"/>
        </w:trPr>
        <w:tc>
          <w:tcPr>
            <w:tcW w:w="1227" w:type="dxa"/>
            <w:vMerge w:val="restart"/>
            <w:tcBorders>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病院の管理及び運営に関する諸記録</w:t>
            </w:r>
          </w:p>
        </w:tc>
        <w:tc>
          <w:tcPr>
            <w:tcW w:w="613" w:type="dxa"/>
            <w:vMerge w:val="restart"/>
            <w:tcBorders>
              <w:top w:val="single" w:sz="4" w:space="0" w:color="000000"/>
              <w:left w:val="single" w:sz="4" w:space="0" w:color="000000"/>
              <w:right w:val="single" w:sz="4" w:space="0" w:color="000000"/>
            </w:tcBorders>
            <w:textDirection w:val="tbRlV"/>
          </w:tcPr>
          <w:p w:rsidR="00E01CAF" w:rsidRPr="007515D4"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r w:rsidRPr="007515D4">
              <w:rPr>
                <w:rFonts w:asciiTheme="majorEastAsia" w:eastAsiaTheme="majorEastAsia" w:hAnsiTheme="majorEastAsia" w:hint="eastAsia"/>
              </w:rPr>
              <w:t>規則第二十二条の七第三号に掲げる事項</w:t>
            </w: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従業者数を明らかにする帳簿</w:t>
            </w:r>
          </w:p>
        </w:tc>
        <w:tc>
          <w:tcPr>
            <w:tcW w:w="2608"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特定臨床研究の計画の立案及び実施の実績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他の病院又は診療所と共同して特定臨床研究を実施する場合に</w:t>
            </w:r>
            <w:proofErr w:type="gramStart"/>
            <w:r w:rsidRPr="007515D4">
              <w:rPr>
                <w:rFonts w:ascii="ＭＳ ゴシック" w:eastAsia="ＭＳ ゴシック" w:hAnsi="ＭＳ ゴシック" w:hint="eastAsia"/>
              </w:rPr>
              <w:t>あつては</w:t>
            </w:r>
            <w:proofErr w:type="gramEnd"/>
            <w:r w:rsidRPr="007515D4">
              <w:rPr>
                <w:rFonts w:ascii="ＭＳ ゴシック" w:eastAsia="ＭＳ ゴシック" w:hAnsi="ＭＳ ゴシック" w:hint="eastAsia"/>
              </w:rPr>
              <w:t>、特定臨床研究の実施の主導的な役割を果たした実績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7"/>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7515D4" w:rsidRDefault="00E01CAF" w:rsidP="00AE6EA5">
            <w:pPr>
              <w:suppressAutoHyphens/>
              <w:kinsoku w:val="0"/>
              <w:wordWrap w:val="0"/>
              <w:autoSpaceDE w:val="0"/>
              <w:autoSpaceDN w:val="0"/>
              <w:spacing w:line="248" w:lineRule="exact"/>
              <w:jc w:val="left"/>
              <w:rPr>
                <w:rFonts w:ascii="ＭＳ ゴシック" w:eastAsia="ＭＳ ゴシック" w:hAnsi="ＭＳ ゴシック"/>
              </w:rPr>
            </w:pPr>
            <w:r w:rsidRPr="007515D4">
              <w:rPr>
                <w:rFonts w:ascii="ＭＳ ゴシック" w:eastAsia="ＭＳ ゴシック" w:hAnsi="ＭＳ ゴシック" w:hint="eastAsia"/>
              </w:rPr>
              <w:t>他の病院又は診療所に対し、特定臨床研究の実施に関する相談に応じ、必要な情報の提供、助言その他の援助を行</w:t>
            </w:r>
            <w:proofErr w:type="gramStart"/>
            <w:r w:rsidRPr="007515D4">
              <w:rPr>
                <w:rFonts w:ascii="ＭＳ ゴシック" w:eastAsia="ＭＳ ゴシック" w:hAnsi="ＭＳ ゴシック" w:hint="eastAsia"/>
              </w:rPr>
              <w:t>つた</w:t>
            </w:r>
            <w:proofErr w:type="gramEnd"/>
            <w:r w:rsidRPr="007515D4">
              <w:rPr>
                <w:rFonts w:ascii="ＭＳ ゴシック" w:eastAsia="ＭＳ ゴシック" w:hAnsi="ＭＳ ゴシック" w:hint="eastAsia"/>
              </w:rPr>
              <w:t>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E01CAF" w:rsidRPr="00BD4DCF" w:rsidTr="007515D4">
        <w:trPr>
          <w:trHeight w:val="80"/>
        </w:trPr>
        <w:tc>
          <w:tcPr>
            <w:tcW w:w="1227" w:type="dxa"/>
            <w:vMerge/>
            <w:tcBorders>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p>
        </w:tc>
        <w:tc>
          <w:tcPr>
            <w:tcW w:w="613" w:type="dxa"/>
            <w:vMerge/>
            <w:tcBorders>
              <w:left w:val="single" w:sz="4" w:space="0" w:color="000000"/>
              <w:right w:val="single" w:sz="4" w:space="0" w:color="000000"/>
            </w:tcBorders>
            <w:textDirection w:val="tbRlV"/>
          </w:tcPr>
          <w:p w:rsidR="00E01CAF" w:rsidRPr="00BD4DCF" w:rsidRDefault="00E01CAF" w:rsidP="00AE6EA5">
            <w:pPr>
              <w:suppressAutoHyphens/>
              <w:kinsoku w:val="0"/>
              <w:wordWrap w:val="0"/>
              <w:autoSpaceDE w:val="0"/>
              <w:autoSpaceDN w:val="0"/>
              <w:spacing w:line="248" w:lineRule="exact"/>
              <w:ind w:left="113" w:right="113"/>
              <w:jc w:val="left"/>
              <w:rPr>
                <w:rFonts w:asciiTheme="majorEastAsia" w:eastAsiaTheme="majorEastAsia" w:hAnsiTheme="majorEastAsia"/>
              </w:rPr>
            </w:pPr>
          </w:p>
        </w:tc>
        <w:tc>
          <w:tcPr>
            <w:tcW w:w="3377" w:type="dxa"/>
            <w:tcBorders>
              <w:top w:val="single" w:sz="4" w:space="0" w:color="000000"/>
              <w:left w:val="single" w:sz="4" w:space="0" w:color="000000"/>
              <w:bottom w:val="single" w:sz="4" w:space="0" w:color="000000"/>
              <w:right w:val="single" w:sz="4" w:space="0" w:color="000000"/>
            </w:tcBorders>
          </w:tcPr>
          <w:p w:rsidR="00E01CAF" w:rsidRPr="00876B5F" w:rsidRDefault="00E01CAF"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ＭＳ ゴシック" w:eastAsia="ＭＳ ゴシック" w:hAnsi="ＭＳ ゴシック" w:hint="eastAsia"/>
              </w:rPr>
              <w:t>特定臨床研究に関する研修の実績</w:t>
            </w:r>
          </w:p>
        </w:tc>
        <w:tc>
          <w:tcPr>
            <w:tcW w:w="2608" w:type="dxa"/>
            <w:tcBorders>
              <w:top w:val="single" w:sz="4" w:space="0" w:color="000000"/>
              <w:left w:val="single" w:sz="4" w:space="0" w:color="000000"/>
              <w:bottom w:val="single" w:sz="4" w:space="0" w:color="000000"/>
              <w:right w:val="single" w:sz="4" w:space="0" w:color="000000"/>
            </w:tcBorders>
          </w:tcPr>
          <w:p w:rsidR="00E01CAF" w:rsidRPr="00E01CA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tcBorders>
              <w:top w:val="single" w:sz="4" w:space="0" w:color="000000"/>
              <w:left w:val="single" w:sz="4" w:space="0" w:color="000000"/>
              <w:right w:val="single" w:sz="4" w:space="0" w:color="000000"/>
            </w:tcBorders>
          </w:tcPr>
          <w:p w:rsidR="00E01CAF" w:rsidRPr="00BD4DCF" w:rsidRDefault="00E01CAF"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val="restart"/>
            <w:tcBorders>
              <w:top w:val="single" w:sz="4" w:space="0" w:color="000000"/>
              <w:left w:val="single" w:sz="4" w:space="0" w:color="000000"/>
              <w:right w:val="single" w:sz="4" w:space="0" w:color="000000"/>
            </w:tcBorders>
            <w:textDirection w:val="tbRlV"/>
          </w:tcPr>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規則第一条の十一第一項に掲げる事項</w:t>
            </w:r>
          </w:p>
          <w:p w:rsidR="00FA77C6" w:rsidRPr="007515D4" w:rsidRDefault="00FA77C6" w:rsidP="00AE6EA5">
            <w:pPr>
              <w:suppressAutoHyphens/>
              <w:kinsoku w:val="0"/>
              <w:wordWrap w:val="0"/>
              <w:autoSpaceDE w:val="0"/>
              <w:autoSpaceDN w:val="0"/>
              <w:spacing w:line="248" w:lineRule="exact"/>
              <w:ind w:left="113" w:right="113"/>
              <w:jc w:val="left"/>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医療に係る安全管理のための指針の整備状況</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Borders>
              <w:top w:val="single" w:sz="4" w:space="0" w:color="000000"/>
              <w:left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FA77C6" w:rsidRPr="00BD4DCF" w:rsidTr="007515D4">
        <w:trPr>
          <w:trHeight w:val="175"/>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 xml:space="preserve">医療に係る安全管理のための委員会の開催状況　</w:t>
            </w: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医療に係る安全管理のための職員研修の実施状況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FA77C6" w:rsidRPr="00BD4DCF" w:rsidTr="007515D4">
        <w:trPr>
          <w:trHeight w:val="43"/>
        </w:trPr>
        <w:tc>
          <w:tcPr>
            <w:tcW w:w="122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613"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c>
          <w:tcPr>
            <w:tcW w:w="3377" w:type="dxa"/>
            <w:tcBorders>
              <w:top w:val="single" w:sz="4" w:space="0" w:color="000000"/>
              <w:left w:val="single" w:sz="4" w:space="0" w:color="000000"/>
              <w:bottom w:val="single" w:sz="4" w:space="0" w:color="000000"/>
              <w:right w:val="single" w:sz="4" w:space="0" w:color="000000"/>
            </w:tcBorders>
          </w:tcPr>
          <w:p w:rsidR="00FA77C6" w:rsidRDefault="00FA77C6" w:rsidP="00AE6EA5">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医療機関内における事故報告等の医療に係る安全の確保を目的とした改善のための方策の状況</w:t>
            </w:r>
          </w:p>
          <w:p w:rsidR="007515D4" w:rsidRPr="007515D4" w:rsidRDefault="007515D4"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8" w:type="dxa"/>
            <w:tcBorders>
              <w:top w:val="single" w:sz="4" w:space="0" w:color="000000"/>
              <w:left w:val="single" w:sz="4" w:space="0" w:color="000000"/>
              <w:bottom w:val="single" w:sz="4" w:space="0" w:color="000000"/>
              <w:right w:val="single" w:sz="4" w:space="0" w:color="000000"/>
            </w:tcBorders>
          </w:tcPr>
          <w:p w:rsidR="00FA77C6" w:rsidRPr="007515D4" w:rsidRDefault="00FA77C6" w:rsidP="00AE6EA5">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Borders>
              <w:left w:val="single" w:sz="4" w:space="0" w:color="000000"/>
              <w:right w:val="single" w:sz="4" w:space="0" w:color="000000"/>
            </w:tcBorders>
          </w:tcPr>
          <w:p w:rsidR="00FA77C6" w:rsidRPr="007515D4" w:rsidRDefault="00FA77C6" w:rsidP="00AE6EA5">
            <w:pPr>
              <w:overflowPunct/>
              <w:autoSpaceDE w:val="0"/>
              <w:autoSpaceDN w:val="0"/>
              <w:jc w:val="left"/>
              <w:textAlignment w:val="auto"/>
              <w:rPr>
                <w:rFonts w:asciiTheme="majorEastAsia" w:eastAsiaTheme="majorEastAsia" w:hAnsiTheme="majorEastAsia" w:cs="Times New Roman"/>
                <w:spacing w:val="2"/>
              </w:rPr>
            </w:pPr>
          </w:p>
        </w:tc>
      </w:tr>
      <w:tr w:rsidR="00BA3A91"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trPr>
        <w:tc>
          <w:tcPr>
            <w:tcW w:w="5217" w:type="dxa"/>
            <w:gridSpan w:val="3"/>
          </w:tcPr>
          <w:p w:rsidR="00BA3A91" w:rsidRPr="007515D4" w:rsidRDefault="00BA3A91" w:rsidP="00AE6EA5">
            <w:pPr>
              <w:suppressAutoHyphens/>
              <w:kinsoku w:val="0"/>
              <w:autoSpaceDE w:val="0"/>
              <w:autoSpaceDN w:val="0"/>
              <w:spacing w:line="248" w:lineRule="exact"/>
              <w:jc w:val="center"/>
              <w:rPr>
                <w:rFonts w:asciiTheme="majorEastAsia" w:eastAsiaTheme="majorEastAsia" w:hAnsiTheme="majorEastAsia" w:cs="Times New Roman"/>
                <w:spacing w:val="2"/>
              </w:rPr>
            </w:pPr>
          </w:p>
        </w:tc>
        <w:tc>
          <w:tcPr>
            <w:tcW w:w="2608"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保</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管</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場</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所</w:t>
            </w:r>
          </w:p>
        </w:tc>
        <w:tc>
          <w:tcPr>
            <w:tcW w:w="2607" w:type="dxa"/>
          </w:tcPr>
          <w:p w:rsidR="00BA3A91" w:rsidRPr="007515D4" w:rsidRDefault="00BA3A91" w:rsidP="00AE6EA5">
            <w:pPr>
              <w:suppressAutoHyphens/>
              <w:kinsoku w:val="0"/>
              <w:wordWrap w:val="0"/>
              <w:autoSpaceDE w:val="0"/>
              <w:autoSpaceDN w:val="0"/>
              <w:spacing w:line="248" w:lineRule="exact"/>
              <w:jc w:val="center"/>
              <w:rPr>
                <w:rFonts w:asciiTheme="majorEastAsia" w:eastAsiaTheme="majorEastAsia" w:hAnsiTheme="majorEastAsia" w:cs="Times New Roman"/>
                <w:spacing w:val="2"/>
              </w:rPr>
            </w:pPr>
            <w:r w:rsidRPr="007515D4">
              <w:rPr>
                <w:rFonts w:asciiTheme="majorEastAsia" w:eastAsiaTheme="majorEastAsia" w:hAnsiTheme="majorEastAsia" w:hint="eastAsia"/>
              </w:rPr>
              <w:t>管　理</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方</w:t>
            </w:r>
            <w:r w:rsidRPr="007515D4">
              <w:rPr>
                <w:rFonts w:asciiTheme="majorEastAsia" w:eastAsiaTheme="majorEastAsia" w:hAnsiTheme="majorEastAsia" w:cs="Times New Roman"/>
              </w:rPr>
              <w:t xml:space="preserve">  </w:t>
            </w:r>
            <w:r w:rsidRPr="007515D4">
              <w:rPr>
                <w:rFonts w:asciiTheme="majorEastAsia" w:eastAsiaTheme="majorEastAsia" w:hAnsiTheme="majorEastAsia" w:hint="eastAsia"/>
              </w:rPr>
              <w:t>法</w:t>
            </w: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47"/>
        </w:trPr>
        <w:tc>
          <w:tcPr>
            <w:tcW w:w="1227" w:type="dxa"/>
            <w:vMerge w:val="restart"/>
          </w:tcPr>
          <w:p w:rsidR="00A70D2A" w:rsidRPr="007515D4" w:rsidRDefault="00A70D2A" w:rsidP="00BA3A91">
            <w:pPr>
              <w:overflowPunct/>
              <w:autoSpaceDE w:val="0"/>
              <w:autoSpaceDN w:val="0"/>
              <w:spacing w:line="248" w:lineRule="exact"/>
              <w:jc w:val="left"/>
              <w:textAlignment w:val="auto"/>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病院の管理及び運営に関する諸記録</w:t>
            </w:r>
          </w:p>
        </w:tc>
        <w:tc>
          <w:tcPr>
            <w:tcW w:w="613" w:type="dxa"/>
            <w:vMerge w:val="restart"/>
            <w:textDirection w:val="tbRlV"/>
            <w:vAlign w:val="center"/>
          </w:tcPr>
          <w:p w:rsidR="00A70D2A" w:rsidRPr="007515D4" w:rsidRDefault="00A70D2A" w:rsidP="00BA3A91">
            <w:pPr>
              <w:autoSpaceDE w:val="0"/>
              <w:autoSpaceDN w:val="0"/>
              <w:ind w:left="113" w:right="113"/>
              <w:rPr>
                <w:rFonts w:asciiTheme="majorEastAsia" w:eastAsiaTheme="majorEastAsia" w:hAnsiTheme="majorEastAsia" w:cs="Times New Roman"/>
                <w:color w:val="000000" w:themeColor="text1"/>
                <w:spacing w:val="2"/>
              </w:rPr>
            </w:pPr>
            <w:r w:rsidRPr="007515D4">
              <w:rPr>
                <w:rFonts w:asciiTheme="majorEastAsia" w:eastAsiaTheme="majorEastAsia" w:hAnsiTheme="majorEastAsia" w:hint="eastAsia"/>
                <w:color w:val="000000" w:themeColor="text1"/>
                <w:sz w:val="20"/>
                <w:szCs w:val="20"/>
              </w:rPr>
              <w:t>第九条の二十五各号に掲げる体制の確保の状況</w:t>
            </w:r>
          </w:p>
        </w:tc>
        <w:tc>
          <w:tcPr>
            <w:tcW w:w="3377"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特定臨床研究の適正な実施の確保のための委員会の開催状況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val="restart"/>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5"/>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221B14">
            <w:pPr>
              <w:autoSpaceDE w:val="0"/>
              <w:autoSpaceDN w:val="0"/>
              <w:ind w:left="113"/>
              <w:jc w:val="left"/>
              <w:rPr>
                <w:rFonts w:asciiTheme="majorEastAsia" w:eastAsiaTheme="majorEastAsia" w:hAnsiTheme="majorEastAsia" w:cs="Times New Roman"/>
                <w:color w:val="000000" w:themeColor="text1"/>
                <w:spacing w:val="2"/>
              </w:rPr>
            </w:pPr>
          </w:p>
        </w:tc>
        <w:tc>
          <w:tcPr>
            <w:tcW w:w="3377"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特定臨床研究の適正な実施の確保のための規程及び手順書の整備状況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16"/>
        </w:trPr>
        <w:tc>
          <w:tcPr>
            <w:tcW w:w="1227" w:type="dxa"/>
            <w:vMerge/>
          </w:tcPr>
          <w:p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特定臨床研究の適正な実施に疑義が生じた場合の情報提供を受け付けるための窓口の設置状況</w:t>
            </w:r>
          </w:p>
        </w:tc>
        <w:tc>
          <w:tcPr>
            <w:tcW w:w="2608"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57"/>
        </w:trPr>
        <w:tc>
          <w:tcPr>
            <w:tcW w:w="1227" w:type="dxa"/>
            <w:vMerge/>
          </w:tcPr>
          <w:p w:rsidR="00A70D2A" w:rsidRPr="007515D4" w:rsidRDefault="00A70D2A" w:rsidP="00DB1C73">
            <w:pPr>
              <w:autoSpaceDE w:val="0"/>
              <w:autoSpaceDN w:val="0"/>
              <w:ind w:rightChars="1" w:right="2"/>
              <w:jc w:val="left"/>
              <w:rPr>
                <w:rFonts w:asciiTheme="majorEastAsia" w:eastAsiaTheme="majorEastAsia" w:hAnsiTheme="majorEastAsia" w:cs="Times New Roman"/>
                <w:spacing w:val="2"/>
              </w:rPr>
            </w:pPr>
          </w:p>
        </w:tc>
        <w:tc>
          <w:tcPr>
            <w:tcW w:w="613" w:type="dxa"/>
            <w:vMerge/>
          </w:tcPr>
          <w:p w:rsidR="00A70D2A" w:rsidRPr="007515D4" w:rsidRDefault="00A70D2A" w:rsidP="00221B14">
            <w:pPr>
              <w:overflowPunct/>
              <w:autoSpaceDE w:val="0"/>
              <w:autoSpaceDN w:val="0"/>
              <w:ind w:left="113"/>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病院管理者の業務執行の状況を監査するための委員会の開催状況</w:t>
            </w:r>
          </w:p>
        </w:tc>
        <w:tc>
          <w:tcPr>
            <w:tcW w:w="2608"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221B14">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0"/>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特定臨床研究の実施の支援を行う部門の設置状況</w:t>
            </w:r>
          </w:p>
        </w:tc>
        <w:tc>
          <w:tcPr>
            <w:tcW w:w="2608" w:type="dxa"/>
          </w:tcPr>
          <w:p w:rsidR="00A70D2A" w:rsidRPr="007515D4" w:rsidRDefault="00A70D2A">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30"/>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専従の特定臨床研究の実施の支援に係る業務に従事する者の配置状況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29"/>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特定臨床研究の実施の支援に係る業務に関する規程及び手順書の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93"/>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4D799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特定臨床研究を実施するに当たり統計的な解析等に用いるデータの管理を行う部門の設置状況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35"/>
        </w:trPr>
        <w:tc>
          <w:tcPr>
            <w:tcW w:w="1227" w:type="dxa"/>
            <w:vMerge/>
            <w:textDirection w:val="tbRlV"/>
            <w:vAlign w:val="center"/>
          </w:tcPr>
          <w:p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spacing w:val="2"/>
              </w:rPr>
            </w:pPr>
          </w:p>
        </w:tc>
        <w:tc>
          <w:tcPr>
            <w:tcW w:w="613" w:type="dxa"/>
            <w:vMerge/>
            <w:textDirection w:val="tbRlV"/>
            <w:vAlign w:val="center"/>
          </w:tcPr>
          <w:p w:rsidR="00A70D2A" w:rsidRPr="007515D4" w:rsidRDefault="00A70D2A" w:rsidP="0022228A">
            <w:pPr>
              <w:overflowPunct/>
              <w:autoSpaceDE w:val="0"/>
              <w:autoSpaceDN w:val="0"/>
              <w:ind w:left="113" w:right="113"/>
              <w:jc w:val="center"/>
              <w:textAlignment w:val="auto"/>
              <w:rPr>
                <w:rFonts w:asciiTheme="majorEastAsia" w:eastAsiaTheme="majorEastAsia" w:hAnsiTheme="majorEastAsia" w:cs="Times New Roman"/>
                <w:color w:val="000000" w:themeColor="text1"/>
                <w:spacing w:val="2"/>
              </w:rPr>
            </w:pPr>
          </w:p>
        </w:tc>
        <w:tc>
          <w:tcPr>
            <w:tcW w:w="3377" w:type="dxa"/>
          </w:tcPr>
          <w:p w:rsidR="00A70D2A" w:rsidRPr="007515D4" w:rsidRDefault="00A70D2A" w:rsidP="00DB1C73">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専従の特定臨床研究を実施するに当たり統計的な解析等に用いるデータの管理を行う者の配置状況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特定臨床研究を実施するに当たり統計的な解析等に用いるデータの管理に関する規程及び手順書の</w:t>
            </w:r>
            <w:r w:rsidRPr="007515D4">
              <w:rPr>
                <w:rFonts w:asciiTheme="majorEastAsia" w:eastAsiaTheme="majorEastAsia" w:hAnsiTheme="majorEastAsia" w:cs="Times New Roman" w:hint="eastAsia"/>
                <w:spacing w:val="2"/>
              </w:rPr>
              <w:t>整備状況</w:t>
            </w:r>
          </w:p>
        </w:tc>
        <w:tc>
          <w:tcPr>
            <w:tcW w:w="2608" w:type="dxa"/>
          </w:tcPr>
          <w:p w:rsidR="00A70D2A" w:rsidRPr="007515D4"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専任の医療に係る安全管理を行う者、専任の特定臨床研究において用いられる医薬品等の管理を行う者及び特定臨床研究に係る安全管理を行う者の配置状況</w:t>
            </w:r>
          </w:p>
        </w:tc>
        <w:tc>
          <w:tcPr>
            <w:tcW w:w="2608" w:type="dxa"/>
          </w:tcPr>
          <w:p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02"/>
        </w:trPr>
        <w:tc>
          <w:tcPr>
            <w:tcW w:w="122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BD4DCF" w:rsidRDefault="00A70D2A" w:rsidP="0068290F">
            <w:pPr>
              <w:suppressAutoHyphens/>
              <w:kinsoku w:val="0"/>
              <w:wordWrap w:val="0"/>
              <w:autoSpaceDE w:val="0"/>
              <w:autoSpaceDN w:val="0"/>
              <w:spacing w:line="248" w:lineRule="exact"/>
              <w:jc w:val="left"/>
              <w:rPr>
                <w:rFonts w:asciiTheme="majorEastAsia" w:eastAsiaTheme="majorEastAsia" w:hAnsiTheme="majorEastAsia"/>
              </w:rPr>
            </w:pPr>
            <w:r w:rsidRPr="00DE17D6">
              <w:rPr>
                <w:rFonts w:asciiTheme="majorEastAsia" w:eastAsiaTheme="majorEastAsia" w:hAnsiTheme="majorEastAsia" w:hint="eastAsia"/>
              </w:rPr>
              <w:t>特定臨床研究に係る安全管理業務に関する規程及び手順書の</w:t>
            </w:r>
            <w:r w:rsidRPr="00DE17D6">
              <w:rPr>
                <w:rFonts w:asciiTheme="majorEastAsia" w:eastAsiaTheme="majorEastAsia" w:hAnsiTheme="majorEastAsia" w:cs="Times New Roman" w:hint="eastAsia"/>
                <w:spacing w:val="2"/>
              </w:rPr>
              <w:t>整備状況</w:t>
            </w:r>
          </w:p>
        </w:tc>
        <w:tc>
          <w:tcPr>
            <w:tcW w:w="2608" w:type="dxa"/>
          </w:tcPr>
          <w:p w:rsidR="00A70D2A" w:rsidRPr="00BD4DCF" w:rsidRDefault="00A70D2A" w:rsidP="006C188F">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BD4DCF" w:rsidRDefault="00A70D2A">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cs="Times New Roman" w:hint="eastAsia"/>
                <w:spacing w:val="2"/>
              </w:rPr>
              <w:t>医療安全管理責任者の配置状況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医薬品安全管理責任者の業務実施状況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医療を受ける者に対する説明に関する責任者の配置状況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r w:rsidRPr="007515D4">
              <w:rPr>
                <w:rFonts w:asciiTheme="majorEastAsia" w:eastAsiaTheme="majorEastAsia" w:hAnsiTheme="majorEastAsia" w:hint="eastAsia"/>
              </w:rPr>
              <w:t>診療録等の管理に関する責任者の選任状況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8"/>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医療安全管理部門の設置状況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高難度新規医療技術の提供の適否等を決定する部門の状況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未承認新規医薬品等の使用条件を定め、使用の適否等を決定する部門の状況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7515D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入院患者が死亡した場合等の医療安全管理部門への報告状況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他の特定機能病院</w:t>
            </w:r>
            <w:r>
              <w:rPr>
                <w:rFonts w:asciiTheme="majorEastAsia" w:eastAsiaTheme="majorEastAsia" w:hAnsiTheme="majorEastAsia" w:hint="eastAsia"/>
              </w:rPr>
              <w:t>等</w:t>
            </w:r>
            <w:r w:rsidRPr="008579C6">
              <w:rPr>
                <w:rFonts w:asciiTheme="majorEastAsia" w:eastAsiaTheme="majorEastAsia" w:hAnsiTheme="majorEastAsia" w:hint="eastAsia"/>
              </w:rPr>
              <w:t>の管理者と連携した相互立入り及び技術的</w:t>
            </w:r>
            <w:r w:rsidRPr="008579C6">
              <w:rPr>
                <w:rFonts w:asciiTheme="majorEastAsia" w:eastAsiaTheme="majorEastAsia" w:hAnsiTheme="majorEastAsia" w:hint="eastAsia"/>
              </w:rPr>
              <w:lastRenderedPageBreak/>
              <w:t>助言の実施状況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F16C87">
              <w:rPr>
                <w:rFonts w:asciiTheme="majorEastAsia" w:eastAsiaTheme="majorEastAsia" w:hAnsiTheme="majorEastAsia" w:hint="eastAsia"/>
              </w:rPr>
              <w:t>管理者、医療安全管理責任者、医薬品安全管理責任者及び医療機器安全管理責任者のための研修の実施状況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F16C87"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職員研修の実施状況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8579C6">
              <w:rPr>
                <w:rFonts w:asciiTheme="majorEastAsia" w:eastAsiaTheme="majorEastAsia" w:hAnsiTheme="majorEastAsia" w:hint="eastAsia"/>
              </w:rPr>
              <w:t>監査委員会の設置状況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sidRPr="007515D4">
              <w:rPr>
                <w:rFonts w:asciiTheme="majorEastAsia" w:eastAsiaTheme="majorEastAsia" w:hAnsiTheme="majorEastAsia" w:hint="eastAsia"/>
              </w:rPr>
              <w:t>医療安全管理の適正な実施に疑義が生じた場合等の情報提供を受け付けるための窓口の状況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A5474A">
            <w:pPr>
              <w:suppressAutoHyphens/>
              <w:kinsoku w:val="0"/>
              <w:wordWrap w:val="0"/>
              <w:autoSpaceDE w:val="0"/>
              <w:autoSpaceDN w:val="0"/>
              <w:spacing w:line="248" w:lineRule="exact"/>
              <w:jc w:val="left"/>
              <w:rPr>
                <w:rFonts w:asciiTheme="majorEastAsia" w:eastAsiaTheme="majorEastAsia" w:hAnsiTheme="majorEastAsia"/>
              </w:rPr>
            </w:pPr>
            <w:r>
              <w:rPr>
                <w:rFonts w:asciiTheme="majorEastAsia" w:eastAsiaTheme="majorEastAsia" w:hAnsiTheme="majorEastAsia" w:hint="eastAsia"/>
              </w:rPr>
              <w:t>認定臨床研究審査委員会での特定臨床研究の審査体制の整備状況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利益相反委員会の設置状況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利益相反委員会が行う審査に係る規程及び手順書の</w:t>
            </w:r>
            <w:r w:rsidRPr="00884D9F">
              <w:rPr>
                <w:rFonts w:asciiTheme="majorEastAsia" w:eastAsiaTheme="majorEastAsia" w:hAnsiTheme="majorEastAsia" w:cs="Times New Roman" w:hint="eastAsia"/>
                <w:spacing w:val="2"/>
              </w:rPr>
              <w:t>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専従の知的財産の管理及び技術の移転に係る業務を行う者の配置状況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知的財産の管理及び技術の移転に係る業務に関する規程及び手順書の</w:t>
            </w:r>
            <w:r w:rsidRPr="00884D9F">
              <w:rPr>
                <w:rFonts w:asciiTheme="majorEastAsia" w:eastAsiaTheme="majorEastAsia" w:hAnsiTheme="majorEastAsia" w:cs="Times New Roman" w:hint="eastAsia"/>
                <w:spacing w:val="2"/>
              </w:rPr>
              <w:t>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臨床研究に関する広報及び啓発に関する活動を行う体制の整備状況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884D9F"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884D9F">
              <w:rPr>
                <w:rFonts w:asciiTheme="majorEastAsia" w:eastAsiaTheme="majorEastAsia" w:hAnsiTheme="majorEastAsia" w:hint="eastAsia"/>
              </w:rPr>
              <w:t>当該病院が実施する特定臨床研究に関し、研究の対象者又はその家族からの相談に適切に応じる体制の整備状況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5A31F0" w:rsidRDefault="00A70D2A" w:rsidP="00A70D2A">
            <w:pPr>
              <w:suppressAutoHyphens/>
              <w:kinsoku w:val="0"/>
              <w:wordWrap w:val="0"/>
              <w:autoSpaceDE w:val="0"/>
              <w:autoSpaceDN w:val="0"/>
              <w:spacing w:line="248" w:lineRule="exact"/>
              <w:jc w:val="left"/>
            </w:pPr>
            <w:r w:rsidRPr="005A31F0">
              <w:rPr>
                <w:rFonts w:hint="eastAsia"/>
              </w:rPr>
              <w:t>評価療養及び患者申出療養を行い、評価療養に係る相談に応じ、並びに患者申出療養の申出に係る意見を述べるための業務を行う者の配置状況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r w:rsidR="00A70D2A" w:rsidRPr="00BD4DCF" w:rsidTr="00C823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60"/>
        </w:trPr>
        <w:tc>
          <w:tcPr>
            <w:tcW w:w="122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613"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c>
          <w:tcPr>
            <w:tcW w:w="3377" w:type="dxa"/>
          </w:tcPr>
          <w:p w:rsidR="00A70D2A" w:rsidRPr="0004766A" w:rsidRDefault="00A70D2A" w:rsidP="00CC5C5B">
            <w:pPr>
              <w:suppressAutoHyphens/>
              <w:kinsoku w:val="0"/>
              <w:wordWrap w:val="0"/>
              <w:autoSpaceDE w:val="0"/>
              <w:autoSpaceDN w:val="0"/>
              <w:spacing w:line="248" w:lineRule="exact"/>
              <w:jc w:val="left"/>
              <w:rPr>
                <w:rFonts w:asciiTheme="majorEastAsia" w:eastAsiaTheme="majorEastAsia" w:hAnsiTheme="majorEastAsia"/>
              </w:rPr>
            </w:pPr>
            <w:r w:rsidRPr="005A31F0">
              <w:rPr>
                <w:rFonts w:hint="eastAsia"/>
              </w:rPr>
              <w:t>評価療養及び患者申出療養を行い、評価療養に係る相談に応じ、並びに患者申出療養の申出に係る意見を述べるための業務に係る規程及び手順書の整備状況</w:t>
            </w:r>
          </w:p>
        </w:tc>
        <w:tc>
          <w:tcPr>
            <w:tcW w:w="2608" w:type="dxa"/>
          </w:tcPr>
          <w:p w:rsidR="00A70D2A" w:rsidRPr="007515D4" w:rsidRDefault="00A70D2A" w:rsidP="00CC5C5B">
            <w:pPr>
              <w:suppressAutoHyphens/>
              <w:kinsoku w:val="0"/>
              <w:wordWrap w:val="0"/>
              <w:autoSpaceDE w:val="0"/>
              <w:autoSpaceDN w:val="0"/>
              <w:spacing w:line="248" w:lineRule="exact"/>
              <w:jc w:val="left"/>
              <w:rPr>
                <w:rFonts w:asciiTheme="majorEastAsia" w:eastAsiaTheme="majorEastAsia" w:hAnsiTheme="majorEastAsia" w:cs="Times New Roman"/>
                <w:spacing w:val="2"/>
              </w:rPr>
            </w:pPr>
          </w:p>
        </w:tc>
        <w:tc>
          <w:tcPr>
            <w:tcW w:w="2607" w:type="dxa"/>
            <w:vMerge/>
          </w:tcPr>
          <w:p w:rsidR="00A70D2A" w:rsidRPr="007515D4" w:rsidRDefault="00A70D2A" w:rsidP="00CC5C5B">
            <w:pPr>
              <w:overflowPunct/>
              <w:autoSpaceDE w:val="0"/>
              <w:autoSpaceDN w:val="0"/>
              <w:jc w:val="left"/>
              <w:textAlignment w:val="auto"/>
              <w:rPr>
                <w:rFonts w:asciiTheme="majorEastAsia" w:eastAsiaTheme="majorEastAsia" w:hAnsiTheme="majorEastAsia" w:cs="Times New Roman"/>
                <w:spacing w:val="2"/>
              </w:rPr>
            </w:pPr>
          </w:p>
        </w:tc>
      </w:tr>
    </w:tbl>
    <w:p w:rsidR="00CC5C5B" w:rsidRPr="007515D4" w:rsidRDefault="00CC5C5B">
      <w:pPr>
        <w:rPr>
          <w:rFonts w:asciiTheme="majorEastAsia" w:eastAsiaTheme="majorEastAsia" w:hAnsiTheme="majorEastAsia"/>
        </w:rPr>
      </w:pPr>
    </w:p>
    <w:p w:rsidR="00601D16" w:rsidRPr="007515D4" w:rsidRDefault="00181E9F" w:rsidP="00DB1C73">
      <w:pPr>
        <w:pStyle w:val="P"/>
        <w:tabs>
          <w:tab w:val="left" w:pos="2694"/>
        </w:tabs>
        <w:suppressAutoHyphens w:val="0"/>
        <w:kinsoku/>
        <w:wordWrap/>
        <w:autoSpaceDE/>
        <w:autoSpaceDN/>
        <w:adjustRightInd/>
        <w:spacing w:line="248" w:lineRule="exact"/>
        <w:ind w:leftChars="-66" w:left="349" w:hangingChars="229" w:hanging="490"/>
        <w:jc w:val="both"/>
        <w:rPr>
          <w:rFonts w:asciiTheme="majorEastAsia" w:eastAsiaTheme="majorEastAsia" w:hAnsiTheme="majorEastAsia"/>
          <w:color w:val="000000" w:themeColor="text1"/>
          <w:spacing w:val="2"/>
          <w:sz w:val="21"/>
          <w:szCs w:val="21"/>
        </w:rPr>
      </w:pPr>
      <w:r w:rsidRPr="007515D4">
        <w:rPr>
          <w:rStyle w:val="TT"/>
          <w:rFonts w:asciiTheme="majorEastAsia" w:eastAsiaTheme="majorEastAsia" w:hAnsiTheme="majorEastAsia" w:cs="ＭＳ ゴシック" w:hint="eastAsia"/>
          <w:color w:val="000000"/>
          <w:sz w:val="21"/>
          <w:szCs w:val="21"/>
        </w:rPr>
        <w:t>（</w:t>
      </w:r>
      <w:r w:rsidR="00601D16" w:rsidRPr="007515D4">
        <w:rPr>
          <w:rStyle w:val="TT"/>
          <w:rFonts w:asciiTheme="majorEastAsia" w:eastAsiaTheme="majorEastAsia" w:hAnsiTheme="majorEastAsia" w:cs="ＭＳ ゴシック" w:hint="eastAsia"/>
          <w:color w:val="000000"/>
          <w:sz w:val="21"/>
          <w:szCs w:val="21"/>
        </w:rPr>
        <w:t>注</w:t>
      </w:r>
      <w:r w:rsidRPr="007515D4">
        <w:rPr>
          <w:rStyle w:val="TT"/>
          <w:rFonts w:asciiTheme="majorEastAsia" w:eastAsiaTheme="majorEastAsia" w:hAnsiTheme="majorEastAsia" w:cs="ＭＳ ゴシック"/>
          <w:color w:val="000000"/>
          <w:sz w:val="21"/>
          <w:szCs w:val="21"/>
        </w:rPr>
        <w:t xml:space="preserve">) </w:t>
      </w:r>
      <w:r w:rsidR="00601D16" w:rsidRPr="007515D4">
        <w:rPr>
          <w:rStyle w:val="TT"/>
          <w:rFonts w:asciiTheme="majorEastAsia" w:eastAsiaTheme="majorEastAsia" w:hAnsiTheme="majorEastAsia" w:cs="ＭＳ ゴシック" w:hint="eastAsia"/>
          <w:color w:val="000000"/>
          <w:sz w:val="21"/>
          <w:szCs w:val="21"/>
        </w:rPr>
        <w:t>個々の記録について記入する必要はなく、全体としての管理方法の概略を記入すること。</w:t>
      </w:r>
      <w:r w:rsidR="00701A01" w:rsidRPr="007515D4">
        <w:rPr>
          <w:rStyle w:val="TT"/>
          <w:rFonts w:asciiTheme="majorEastAsia" w:eastAsiaTheme="majorEastAsia" w:hAnsiTheme="majorEastAsia" w:cs="ＭＳ ゴシック" w:hint="eastAsia"/>
          <w:color w:val="000000" w:themeColor="text1"/>
          <w:sz w:val="21"/>
          <w:szCs w:val="21"/>
        </w:rPr>
        <w:t>また、診療録を病院外に持ち出す際に係る</w:t>
      </w:r>
      <w:r w:rsidR="00DF164A" w:rsidRPr="007515D4">
        <w:rPr>
          <w:rStyle w:val="TT"/>
          <w:rFonts w:asciiTheme="majorEastAsia" w:eastAsiaTheme="majorEastAsia" w:hAnsiTheme="majorEastAsia" w:cs="ＭＳ ゴシック" w:hint="eastAsia"/>
          <w:color w:val="000000" w:themeColor="text1"/>
          <w:sz w:val="21"/>
          <w:szCs w:val="21"/>
        </w:rPr>
        <w:t>取扱いについても記載すること。</w:t>
      </w:r>
    </w:p>
    <w:sectPr w:rsidR="00601D16" w:rsidRPr="007515D4" w:rsidSect="007515D4">
      <w:headerReference w:type="default" r:id="rId7"/>
      <w:type w:val="continuous"/>
      <w:pgSz w:w="11906" w:h="16838"/>
      <w:pgMar w:top="720" w:right="720" w:bottom="720" w:left="720" w:header="1134"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6" w:rsidRDefault="003F6C56">
      <w:r>
        <w:separator/>
      </w:r>
    </w:p>
  </w:endnote>
  <w:endnote w:type="continuationSeparator" w:id="0">
    <w:p w:rsidR="003F6C56" w:rsidRDefault="003F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6" w:rsidRDefault="003F6C56">
      <w:r>
        <w:rPr>
          <w:rFonts w:ascii="ＭＳ 明朝" w:cs="Times New Roman"/>
          <w:color w:val="auto"/>
          <w:sz w:val="2"/>
          <w:szCs w:val="2"/>
        </w:rPr>
        <w:continuationSeparator/>
      </w:r>
    </w:p>
  </w:footnote>
  <w:footnote w:type="continuationSeparator" w:id="0">
    <w:p w:rsidR="003F6C56" w:rsidRDefault="003F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16" w:rsidRPr="00F375F4" w:rsidRDefault="00B36D69" w:rsidP="0022228A">
    <w:pPr>
      <w:adjustRightInd/>
      <w:spacing w:line="248" w:lineRule="exact"/>
      <w:rPr>
        <w:rFonts w:asciiTheme="majorEastAsia" w:eastAsiaTheme="majorEastAsia" w:hAnsiTheme="majorEastAsia" w:cs="Times New Roman"/>
        <w:spacing w:val="2"/>
      </w:rPr>
    </w:pPr>
    <w:r w:rsidRPr="00F375F4">
      <w:rPr>
        <w:rStyle w:val="TT"/>
        <w:rFonts w:asciiTheme="majorEastAsia" w:eastAsiaTheme="majorEastAsia" w:hAnsiTheme="majorEastAsia" w:cs="ＭＳ ゴシック"/>
      </w:rPr>
      <w:t>(</w:t>
    </w:r>
    <w:r w:rsidRPr="00F375F4">
      <w:rPr>
        <w:rStyle w:val="TT"/>
        <w:rFonts w:asciiTheme="majorEastAsia" w:eastAsiaTheme="majorEastAsia" w:hAnsiTheme="majorEastAsia" w:cs="ＭＳ ゴシック" w:hint="eastAsia"/>
      </w:rPr>
      <w:t>様式第</w:t>
    </w:r>
    <w:r w:rsidR="001041AE" w:rsidRPr="00F375F4">
      <w:rPr>
        <w:rStyle w:val="TT"/>
        <w:rFonts w:asciiTheme="majorEastAsia" w:eastAsiaTheme="majorEastAsia" w:hAnsiTheme="majorEastAsia" w:cs="ＭＳ ゴシック" w:hint="eastAsia"/>
      </w:rPr>
      <w:t>６</w:t>
    </w:r>
    <w:r w:rsidRPr="00F375F4">
      <w:rPr>
        <w:rStyle w:val="TT"/>
        <w:rFonts w:asciiTheme="majorEastAsia" w:eastAsiaTheme="majorEastAsia" w:hAnsiTheme="majorEastAsia" w:cs="ＭＳ ゴシック"/>
      </w:rPr>
      <w:t>)</w:t>
    </w: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411BB"/>
    <w:rsid w:val="0004766A"/>
    <w:rsid w:val="000741A7"/>
    <w:rsid w:val="000C2B5A"/>
    <w:rsid w:val="000C6A6A"/>
    <w:rsid w:val="001041AE"/>
    <w:rsid w:val="00113980"/>
    <w:rsid w:val="001247DD"/>
    <w:rsid w:val="00136C2A"/>
    <w:rsid w:val="00181E9F"/>
    <w:rsid w:val="001A2A95"/>
    <w:rsid w:val="001D4C95"/>
    <w:rsid w:val="001E2E4B"/>
    <w:rsid w:val="0020692B"/>
    <w:rsid w:val="00210F6B"/>
    <w:rsid w:val="00221B14"/>
    <w:rsid w:val="0022228A"/>
    <w:rsid w:val="00231215"/>
    <w:rsid w:val="00247D7E"/>
    <w:rsid w:val="002645A0"/>
    <w:rsid w:val="00296DB9"/>
    <w:rsid w:val="002E2529"/>
    <w:rsid w:val="002F1A4E"/>
    <w:rsid w:val="00364262"/>
    <w:rsid w:val="00397805"/>
    <w:rsid w:val="003A69D7"/>
    <w:rsid w:val="003B0742"/>
    <w:rsid w:val="003C1596"/>
    <w:rsid w:val="003D0BDE"/>
    <w:rsid w:val="003E6E33"/>
    <w:rsid w:val="003E7E71"/>
    <w:rsid w:val="003F6C56"/>
    <w:rsid w:val="00412026"/>
    <w:rsid w:val="00414C2F"/>
    <w:rsid w:val="00433AAF"/>
    <w:rsid w:val="0047799A"/>
    <w:rsid w:val="004D799A"/>
    <w:rsid w:val="004E42CC"/>
    <w:rsid w:val="00534765"/>
    <w:rsid w:val="00545C4E"/>
    <w:rsid w:val="00557A63"/>
    <w:rsid w:val="0057120C"/>
    <w:rsid w:val="00591C66"/>
    <w:rsid w:val="0059578E"/>
    <w:rsid w:val="005A31F0"/>
    <w:rsid w:val="005A6C82"/>
    <w:rsid w:val="00600F37"/>
    <w:rsid w:val="00601D16"/>
    <w:rsid w:val="00605822"/>
    <w:rsid w:val="0063169F"/>
    <w:rsid w:val="00643FA6"/>
    <w:rsid w:val="006475EA"/>
    <w:rsid w:val="0068290F"/>
    <w:rsid w:val="0069432D"/>
    <w:rsid w:val="006C188F"/>
    <w:rsid w:val="006C4B62"/>
    <w:rsid w:val="006C6424"/>
    <w:rsid w:val="00701A01"/>
    <w:rsid w:val="007301F5"/>
    <w:rsid w:val="00731801"/>
    <w:rsid w:val="0073217C"/>
    <w:rsid w:val="007515D4"/>
    <w:rsid w:val="00752BDF"/>
    <w:rsid w:val="0075420A"/>
    <w:rsid w:val="00754BFC"/>
    <w:rsid w:val="00785214"/>
    <w:rsid w:val="007D7986"/>
    <w:rsid w:val="007E0434"/>
    <w:rsid w:val="007F546B"/>
    <w:rsid w:val="00816B46"/>
    <w:rsid w:val="00840BB6"/>
    <w:rsid w:val="008579C6"/>
    <w:rsid w:val="00876B5F"/>
    <w:rsid w:val="00881158"/>
    <w:rsid w:val="008E10D6"/>
    <w:rsid w:val="00910565"/>
    <w:rsid w:val="0091257C"/>
    <w:rsid w:val="00927939"/>
    <w:rsid w:val="00931D0E"/>
    <w:rsid w:val="00944F39"/>
    <w:rsid w:val="009708C8"/>
    <w:rsid w:val="009945D0"/>
    <w:rsid w:val="009C7AE1"/>
    <w:rsid w:val="00A108E0"/>
    <w:rsid w:val="00A22567"/>
    <w:rsid w:val="00A27105"/>
    <w:rsid w:val="00A5474A"/>
    <w:rsid w:val="00A70D2A"/>
    <w:rsid w:val="00A82D8E"/>
    <w:rsid w:val="00A8639C"/>
    <w:rsid w:val="00A924F4"/>
    <w:rsid w:val="00AD6ED8"/>
    <w:rsid w:val="00B26EFA"/>
    <w:rsid w:val="00B333DE"/>
    <w:rsid w:val="00B36D69"/>
    <w:rsid w:val="00B709CD"/>
    <w:rsid w:val="00BA3A32"/>
    <w:rsid w:val="00BA3A91"/>
    <w:rsid w:val="00BB1155"/>
    <w:rsid w:val="00BB437D"/>
    <w:rsid w:val="00BB5FC7"/>
    <w:rsid w:val="00BD4DCF"/>
    <w:rsid w:val="00BF7350"/>
    <w:rsid w:val="00C131D7"/>
    <w:rsid w:val="00C141AB"/>
    <w:rsid w:val="00C15E35"/>
    <w:rsid w:val="00C52684"/>
    <w:rsid w:val="00C536DA"/>
    <w:rsid w:val="00C64834"/>
    <w:rsid w:val="00C748F8"/>
    <w:rsid w:val="00CA2F7A"/>
    <w:rsid w:val="00CB6EA9"/>
    <w:rsid w:val="00CC5C5B"/>
    <w:rsid w:val="00CD68B4"/>
    <w:rsid w:val="00CF0EF1"/>
    <w:rsid w:val="00D731D7"/>
    <w:rsid w:val="00D73DA9"/>
    <w:rsid w:val="00D82167"/>
    <w:rsid w:val="00DB1C73"/>
    <w:rsid w:val="00DF164A"/>
    <w:rsid w:val="00E01CAF"/>
    <w:rsid w:val="00E07B95"/>
    <w:rsid w:val="00E14587"/>
    <w:rsid w:val="00E26885"/>
    <w:rsid w:val="00EA0F55"/>
    <w:rsid w:val="00EC1C9B"/>
    <w:rsid w:val="00EC4C4B"/>
    <w:rsid w:val="00EF24D0"/>
    <w:rsid w:val="00F16C87"/>
    <w:rsid w:val="00F375F4"/>
    <w:rsid w:val="00F37F7E"/>
    <w:rsid w:val="00F64C01"/>
    <w:rsid w:val="00F746D7"/>
    <w:rsid w:val="00F8457F"/>
    <w:rsid w:val="00F94657"/>
    <w:rsid w:val="00FA77C6"/>
    <w:rsid w:val="00FB4DAC"/>
    <w:rsid w:val="00FD2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AD3AFA99-A3CB-4BE7-8527-1F922BEF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character" w:styleId="a7">
    <w:name w:val="annotation reference"/>
    <w:basedOn w:val="a0"/>
    <w:uiPriority w:val="99"/>
    <w:rsid w:val="00752BDF"/>
    <w:rPr>
      <w:rFonts w:cs="Times New Roman"/>
      <w:sz w:val="18"/>
      <w:szCs w:val="18"/>
    </w:rPr>
  </w:style>
  <w:style w:type="paragraph" w:styleId="a8">
    <w:name w:val="annotation text"/>
    <w:basedOn w:val="a"/>
    <w:link w:val="a9"/>
    <w:uiPriority w:val="99"/>
    <w:rsid w:val="00752BDF"/>
    <w:pPr>
      <w:jc w:val="left"/>
    </w:pPr>
  </w:style>
  <w:style w:type="character" w:customStyle="1" w:styleId="a9">
    <w:name w:val="コメント文字列 (文字)"/>
    <w:basedOn w:val="a0"/>
    <w:link w:val="a8"/>
    <w:uiPriority w:val="99"/>
    <w:locked/>
    <w:rsid w:val="00752BDF"/>
    <w:rPr>
      <w:rFonts w:cs="ＭＳ 明朝"/>
      <w:color w:val="000000"/>
      <w:kern w:val="0"/>
    </w:rPr>
  </w:style>
  <w:style w:type="paragraph" w:styleId="aa">
    <w:name w:val="annotation subject"/>
    <w:basedOn w:val="a8"/>
    <w:next w:val="a8"/>
    <w:link w:val="ab"/>
    <w:uiPriority w:val="99"/>
    <w:rsid w:val="00752BDF"/>
    <w:rPr>
      <w:b/>
      <w:bCs/>
    </w:rPr>
  </w:style>
  <w:style w:type="character" w:customStyle="1" w:styleId="ab">
    <w:name w:val="コメント内容 (文字)"/>
    <w:basedOn w:val="a9"/>
    <w:link w:val="aa"/>
    <w:uiPriority w:val="99"/>
    <w:locked/>
    <w:rsid w:val="00752BDF"/>
    <w:rPr>
      <w:rFonts w:cs="ＭＳ 明朝"/>
      <w:b/>
      <w:bCs/>
      <w:color w:val="000000"/>
      <w:kern w:val="0"/>
    </w:rPr>
  </w:style>
  <w:style w:type="paragraph" w:styleId="ac">
    <w:name w:val="Balloon Text"/>
    <w:basedOn w:val="a"/>
    <w:link w:val="ad"/>
    <w:uiPriority w:val="99"/>
    <w:rsid w:val="00752BDF"/>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752BD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D59EB-FA3E-4DEB-BC35-70CFF80A7347}">
  <ds:schemaRefs>
    <ds:schemaRef ds:uri="http://schemas.openxmlformats.org/officeDocument/2006/bibliography"/>
  </ds:schemaRefs>
</ds:datastoreItem>
</file>