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A1F2D" w14:textId="4E48B9EA" w:rsidR="007322AD" w:rsidRPr="009645B7" w:rsidRDefault="00A83A0C" w:rsidP="007322AD">
      <w:pPr>
        <w:jc w:val="center"/>
        <w:rPr>
          <w:rFonts w:asciiTheme="minorEastAsia" w:hAnsiTheme="minorEastAsia"/>
          <w:b/>
          <w:szCs w:val="21"/>
        </w:rPr>
      </w:pPr>
      <w:r w:rsidRPr="009645B7">
        <w:rPr>
          <w:rFonts w:asciiTheme="minorEastAsia" w:hAnsiTheme="minorEastAsia" w:hint="eastAsia"/>
          <w:b/>
          <w:szCs w:val="21"/>
        </w:rPr>
        <w:t>大阪</w:t>
      </w:r>
      <w:r w:rsidR="002876A1">
        <w:rPr>
          <w:rFonts w:asciiTheme="minorEastAsia" w:hAnsiTheme="minorEastAsia" w:hint="eastAsia"/>
          <w:b/>
          <w:szCs w:val="21"/>
        </w:rPr>
        <w:t>港湾局</w:t>
      </w:r>
      <w:r w:rsidR="007322AD" w:rsidRPr="009645B7">
        <w:rPr>
          <w:rFonts w:asciiTheme="minorEastAsia" w:hAnsiTheme="minorEastAsia" w:hint="eastAsia"/>
          <w:b/>
          <w:szCs w:val="21"/>
        </w:rPr>
        <w:t>と</w:t>
      </w:r>
      <w:r w:rsidR="002876A1">
        <w:rPr>
          <w:rFonts w:asciiTheme="minorEastAsia" w:hAnsiTheme="minorEastAsia" w:hint="eastAsia"/>
          <w:b/>
          <w:szCs w:val="21"/>
        </w:rPr>
        <w:t>ポートケランオーソリティ</w:t>
      </w:r>
      <w:r w:rsidR="007322AD" w:rsidRPr="009645B7">
        <w:rPr>
          <w:rFonts w:asciiTheme="minorEastAsia" w:hAnsiTheme="minorEastAsia" w:hint="eastAsia"/>
          <w:b/>
          <w:szCs w:val="21"/>
        </w:rPr>
        <w:t>のパートナーシップ港</w:t>
      </w:r>
      <w:r w:rsidRPr="009645B7">
        <w:rPr>
          <w:rFonts w:asciiTheme="minorEastAsia" w:hAnsiTheme="minorEastAsia" w:hint="eastAsia"/>
          <w:b/>
          <w:szCs w:val="21"/>
        </w:rPr>
        <w:t>提携</w:t>
      </w:r>
      <w:r w:rsidR="007322AD" w:rsidRPr="009645B7">
        <w:rPr>
          <w:rFonts w:asciiTheme="minorEastAsia" w:hAnsiTheme="minorEastAsia" w:hint="eastAsia"/>
          <w:b/>
          <w:szCs w:val="21"/>
        </w:rPr>
        <w:t>に関する覚書</w:t>
      </w:r>
    </w:p>
    <w:p w14:paraId="51E0590B" w14:textId="77777777" w:rsidR="001B453C" w:rsidRPr="009645B7" w:rsidRDefault="001B453C" w:rsidP="0026431A">
      <w:pPr>
        <w:rPr>
          <w:rFonts w:asciiTheme="minorEastAsia" w:hAnsiTheme="minorEastAsia" w:cs="Times New Roman"/>
          <w:szCs w:val="21"/>
        </w:rPr>
      </w:pPr>
    </w:p>
    <w:p w14:paraId="339A1A9B" w14:textId="66F52A5B" w:rsidR="007322AD" w:rsidRPr="009645B7" w:rsidRDefault="00CA0993" w:rsidP="0026431A">
      <w:pPr>
        <w:ind w:firstLineChars="100" w:firstLine="210"/>
        <w:rPr>
          <w:rFonts w:asciiTheme="minorEastAsia" w:hAnsiTheme="minorEastAsia"/>
          <w:szCs w:val="21"/>
        </w:rPr>
      </w:pPr>
      <w:r>
        <w:rPr>
          <w:rFonts w:asciiTheme="minorEastAsia" w:hAnsiTheme="minorEastAsia" w:hint="eastAsia"/>
          <w:szCs w:val="21"/>
        </w:rPr>
        <w:t>この覚書（以下「本覚書」という。）は、</w:t>
      </w:r>
      <w:r w:rsidR="002C0799">
        <w:rPr>
          <w:rFonts w:asciiTheme="minorEastAsia" w:hAnsiTheme="minorEastAsia" w:hint="eastAsia"/>
          <w:szCs w:val="21"/>
        </w:rPr>
        <w:t>港湾法（1950年法律第218号）の規定により大阪市と大阪府の港湾管理者となった地方公共団体で、大阪市住之江区南港北2</w:t>
      </w:r>
      <w:r w:rsidR="002C0799">
        <w:rPr>
          <w:rFonts w:asciiTheme="minorEastAsia" w:hAnsiTheme="minorEastAsia"/>
          <w:szCs w:val="21"/>
        </w:rPr>
        <w:t>-1-10</w:t>
      </w:r>
      <w:r w:rsidR="002C0799">
        <w:rPr>
          <w:rFonts w:asciiTheme="minorEastAsia" w:hAnsiTheme="minorEastAsia" w:hint="eastAsia"/>
          <w:szCs w:val="21"/>
        </w:rPr>
        <w:t>に所在する大阪港湾局と</w:t>
      </w:r>
      <w:r w:rsidR="00784CA7">
        <w:rPr>
          <w:rFonts w:asciiTheme="minorEastAsia" w:hAnsiTheme="minorEastAsia" w:hint="eastAsia"/>
          <w:szCs w:val="21"/>
        </w:rPr>
        <w:t>、1963年港務法（488法）に基づいて設立された法人で、マレーシア、セランゴール州ポートケラン42005ジャラン ぺラブハンに所在するポートケランオーソリティと</w:t>
      </w:r>
      <w:r w:rsidR="002C0799">
        <w:rPr>
          <w:rFonts w:asciiTheme="minorEastAsia" w:hAnsiTheme="minorEastAsia" w:hint="eastAsia"/>
          <w:szCs w:val="21"/>
        </w:rPr>
        <w:t>の間で2024年3月25日に取り交わされた。</w:t>
      </w:r>
    </w:p>
    <w:p w14:paraId="3AE943C4" w14:textId="11DC3807" w:rsidR="007322AD" w:rsidRDefault="007322AD" w:rsidP="0026431A">
      <w:pPr>
        <w:rPr>
          <w:rFonts w:asciiTheme="minorEastAsia" w:hAnsiTheme="minorEastAsia"/>
          <w:szCs w:val="21"/>
        </w:rPr>
      </w:pPr>
    </w:p>
    <w:p w14:paraId="485E2B0D" w14:textId="4B0E2402" w:rsidR="004F198B" w:rsidRDefault="004F198B" w:rsidP="0026431A">
      <w:pPr>
        <w:ind w:firstLineChars="100" w:firstLine="210"/>
        <w:rPr>
          <w:rFonts w:asciiTheme="minorEastAsia" w:hAnsiTheme="minorEastAsia"/>
          <w:szCs w:val="21"/>
        </w:rPr>
      </w:pPr>
      <w:r>
        <w:rPr>
          <w:rFonts w:asciiTheme="minorEastAsia" w:hAnsiTheme="minorEastAsia" w:hint="eastAsia"/>
          <w:szCs w:val="21"/>
        </w:rPr>
        <w:t>当事者ら</w:t>
      </w:r>
      <w:r w:rsidR="00784CA7">
        <w:rPr>
          <w:rFonts w:asciiTheme="minorEastAsia" w:hAnsiTheme="minorEastAsia" w:hint="eastAsia"/>
          <w:szCs w:val="21"/>
        </w:rPr>
        <w:t>について</w:t>
      </w:r>
      <w:r>
        <w:rPr>
          <w:rFonts w:asciiTheme="minorEastAsia" w:hAnsiTheme="minorEastAsia" w:hint="eastAsia"/>
          <w:szCs w:val="21"/>
        </w:rPr>
        <w:t>、以下、個別に「当事者」、双方の当事者をまとめて「両当事者」といい、「両当事者」が管理する港をまとめて「</w:t>
      </w:r>
      <w:r w:rsidR="008C4BED">
        <w:rPr>
          <w:rFonts w:asciiTheme="minorEastAsia" w:hAnsiTheme="minorEastAsia" w:hint="eastAsia"/>
          <w:szCs w:val="21"/>
        </w:rPr>
        <w:t>両港湾</w:t>
      </w:r>
      <w:r>
        <w:rPr>
          <w:rFonts w:asciiTheme="minorEastAsia" w:hAnsiTheme="minorEastAsia" w:hint="eastAsia"/>
          <w:szCs w:val="21"/>
        </w:rPr>
        <w:t>」という。</w:t>
      </w:r>
    </w:p>
    <w:p w14:paraId="0A3E63E9" w14:textId="168B9C8B" w:rsidR="004F198B" w:rsidRDefault="004F198B" w:rsidP="00F169C6">
      <w:pPr>
        <w:rPr>
          <w:rFonts w:asciiTheme="minorEastAsia" w:hAnsiTheme="minorEastAsia"/>
          <w:szCs w:val="21"/>
        </w:rPr>
      </w:pPr>
    </w:p>
    <w:p w14:paraId="05012B22" w14:textId="663E8DC4" w:rsidR="004F198B" w:rsidRDefault="004F198B" w:rsidP="0001709D">
      <w:pPr>
        <w:ind w:firstLineChars="100" w:firstLine="210"/>
        <w:rPr>
          <w:rFonts w:asciiTheme="minorEastAsia" w:hAnsiTheme="minorEastAsia"/>
          <w:szCs w:val="21"/>
        </w:rPr>
      </w:pPr>
      <w:r>
        <w:rPr>
          <w:rFonts w:asciiTheme="minorEastAsia" w:hAnsiTheme="minorEastAsia" w:hint="eastAsia"/>
          <w:szCs w:val="21"/>
        </w:rPr>
        <w:t>両国の既存の友好関係を認識し、</w:t>
      </w:r>
    </w:p>
    <w:p w14:paraId="41AD1DFB" w14:textId="4E392DD8" w:rsidR="004F198B" w:rsidRDefault="008C4BED" w:rsidP="0001709D">
      <w:pPr>
        <w:ind w:firstLineChars="100" w:firstLine="210"/>
        <w:rPr>
          <w:rFonts w:asciiTheme="minorEastAsia" w:hAnsiTheme="minorEastAsia"/>
          <w:szCs w:val="21"/>
        </w:rPr>
      </w:pPr>
      <w:r>
        <w:rPr>
          <w:rFonts w:asciiTheme="minorEastAsia" w:hAnsiTheme="minorEastAsia" w:hint="eastAsia"/>
          <w:szCs w:val="21"/>
        </w:rPr>
        <w:t>両港湾</w:t>
      </w:r>
      <w:r w:rsidR="004F198B">
        <w:rPr>
          <w:rFonts w:asciiTheme="minorEastAsia" w:hAnsiTheme="minorEastAsia" w:hint="eastAsia"/>
          <w:szCs w:val="21"/>
        </w:rPr>
        <w:t>の利益となる継続的かつ効果的な連携の必要性を確信し、</w:t>
      </w:r>
    </w:p>
    <w:p w14:paraId="45AA3F90" w14:textId="4C82108C" w:rsidR="004F198B" w:rsidRDefault="004F198B" w:rsidP="0001709D">
      <w:pPr>
        <w:ind w:firstLineChars="100" w:firstLine="210"/>
        <w:rPr>
          <w:rFonts w:asciiTheme="minorEastAsia" w:hAnsiTheme="minorEastAsia"/>
          <w:szCs w:val="21"/>
        </w:rPr>
      </w:pPr>
      <w:r>
        <w:rPr>
          <w:rFonts w:asciiTheme="minorEastAsia" w:hAnsiTheme="minorEastAsia" w:hint="eastAsia"/>
          <w:szCs w:val="21"/>
        </w:rPr>
        <w:t>特に、港湾研究、研修及び実習、情報交換、技術支援や、</w:t>
      </w:r>
      <w:r w:rsidR="008C4BED">
        <w:rPr>
          <w:rFonts w:asciiTheme="minorEastAsia" w:hAnsiTheme="minorEastAsia" w:hint="eastAsia"/>
          <w:szCs w:val="21"/>
        </w:rPr>
        <w:t>両港湾</w:t>
      </w:r>
      <w:r w:rsidR="00784CA7">
        <w:rPr>
          <w:rFonts w:asciiTheme="minorEastAsia" w:hAnsiTheme="minorEastAsia" w:hint="eastAsia"/>
          <w:szCs w:val="21"/>
        </w:rPr>
        <w:t>間の</w:t>
      </w:r>
      <w:r>
        <w:rPr>
          <w:rFonts w:asciiTheme="minorEastAsia" w:hAnsiTheme="minorEastAsia" w:hint="eastAsia"/>
          <w:szCs w:val="21"/>
        </w:rPr>
        <w:t>航路拡大とサービスの充実といった分野における相互支援及び連携によ</w:t>
      </w:r>
      <w:r w:rsidR="00784CA7">
        <w:rPr>
          <w:rFonts w:asciiTheme="minorEastAsia" w:hAnsiTheme="minorEastAsia" w:hint="eastAsia"/>
          <w:szCs w:val="21"/>
        </w:rPr>
        <w:t>る</w:t>
      </w:r>
      <w:r>
        <w:rPr>
          <w:rFonts w:asciiTheme="minorEastAsia" w:hAnsiTheme="minorEastAsia" w:hint="eastAsia"/>
          <w:szCs w:val="21"/>
        </w:rPr>
        <w:t>パートナーシップ港提携をめざし、</w:t>
      </w:r>
    </w:p>
    <w:p w14:paraId="10F07F34" w14:textId="21B47CD4" w:rsidR="004F198B" w:rsidRDefault="004F198B" w:rsidP="0001709D">
      <w:pPr>
        <w:ind w:firstLineChars="100" w:firstLine="210"/>
        <w:rPr>
          <w:rFonts w:asciiTheme="minorEastAsia" w:hAnsiTheme="minorEastAsia"/>
          <w:szCs w:val="21"/>
        </w:rPr>
      </w:pPr>
      <w:r>
        <w:rPr>
          <w:rFonts w:asciiTheme="minorEastAsia" w:hAnsiTheme="minorEastAsia" w:hint="eastAsia"/>
          <w:szCs w:val="21"/>
        </w:rPr>
        <w:t>こうした連携は</w:t>
      </w:r>
      <w:r w:rsidR="008C4BED">
        <w:rPr>
          <w:rFonts w:asciiTheme="minorEastAsia" w:hAnsiTheme="minorEastAsia" w:hint="eastAsia"/>
          <w:szCs w:val="21"/>
        </w:rPr>
        <w:t>両港湾</w:t>
      </w:r>
      <w:r>
        <w:rPr>
          <w:rFonts w:asciiTheme="minorEastAsia" w:hAnsiTheme="minorEastAsia" w:hint="eastAsia"/>
          <w:szCs w:val="21"/>
        </w:rPr>
        <w:t>共通の利益となり</w:t>
      </w:r>
      <w:r w:rsidR="001A7E85">
        <w:rPr>
          <w:rFonts w:asciiTheme="minorEastAsia" w:hAnsiTheme="minorEastAsia" w:hint="eastAsia"/>
          <w:szCs w:val="21"/>
        </w:rPr>
        <w:t>、両国の港湾間の友好関係と相互理解の促進に寄与するものと考え、</w:t>
      </w:r>
    </w:p>
    <w:p w14:paraId="22086192" w14:textId="3F3C7825" w:rsidR="001A7E85" w:rsidRDefault="001A7E85" w:rsidP="0001709D">
      <w:pPr>
        <w:ind w:firstLineChars="100" w:firstLine="210"/>
        <w:rPr>
          <w:rFonts w:asciiTheme="minorEastAsia" w:hAnsiTheme="minorEastAsia"/>
          <w:szCs w:val="21"/>
        </w:rPr>
      </w:pPr>
      <w:r>
        <w:rPr>
          <w:rFonts w:asciiTheme="minorEastAsia" w:hAnsiTheme="minorEastAsia" w:hint="eastAsia"/>
          <w:szCs w:val="21"/>
        </w:rPr>
        <w:t>両当事者は次</w:t>
      </w:r>
      <w:r w:rsidR="00784CA7">
        <w:rPr>
          <w:rFonts w:asciiTheme="minorEastAsia" w:hAnsiTheme="minorEastAsia" w:hint="eastAsia"/>
          <w:szCs w:val="21"/>
        </w:rPr>
        <w:t>の</w:t>
      </w:r>
      <w:r>
        <w:rPr>
          <w:rFonts w:asciiTheme="minorEastAsia" w:hAnsiTheme="minorEastAsia" w:hint="eastAsia"/>
          <w:szCs w:val="21"/>
        </w:rPr>
        <w:t>とおり</w:t>
      </w:r>
      <w:r w:rsidR="00341B73">
        <w:rPr>
          <w:rFonts w:asciiTheme="minorEastAsia" w:hAnsiTheme="minorEastAsia" w:hint="eastAsia"/>
          <w:szCs w:val="21"/>
        </w:rPr>
        <w:t>合意した。</w:t>
      </w:r>
    </w:p>
    <w:p w14:paraId="2C3DF284" w14:textId="77777777" w:rsidR="00341B73" w:rsidRDefault="00341B73" w:rsidP="00F169C6">
      <w:pPr>
        <w:rPr>
          <w:rFonts w:asciiTheme="minorEastAsia" w:hAnsiTheme="minorEastAsia"/>
          <w:szCs w:val="21"/>
        </w:rPr>
      </w:pPr>
    </w:p>
    <w:p w14:paraId="51365F14" w14:textId="786FC32D" w:rsidR="00341B73" w:rsidRPr="00F169C6" w:rsidRDefault="00341B73" w:rsidP="00F169C6">
      <w:pPr>
        <w:rPr>
          <w:rFonts w:asciiTheme="minorEastAsia" w:hAnsiTheme="minorEastAsia"/>
          <w:b/>
          <w:bCs/>
          <w:szCs w:val="21"/>
        </w:rPr>
      </w:pPr>
      <w:r w:rsidRPr="00F169C6">
        <w:rPr>
          <w:rFonts w:asciiTheme="minorEastAsia" w:hAnsiTheme="minorEastAsia" w:hint="eastAsia"/>
          <w:b/>
          <w:bCs/>
          <w:szCs w:val="21"/>
        </w:rPr>
        <w:t>第１条</w:t>
      </w:r>
      <w:r w:rsidR="0001709D">
        <w:rPr>
          <w:rFonts w:asciiTheme="minorEastAsia" w:hAnsiTheme="minorEastAsia" w:hint="eastAsia"/>
          <w:b/>
          <w:bCs/>
          <w:szCs w:val="21"/>
        </w:rPr>
        <w:t xml:space="preserve">　</w:t>
      </w:r>
      <w:r w:rsidRPr="00F169C6">
        <w:rPr>
          <w:rFonts w:asciiTheme="minorEastAsia" w:hAnsiTheme="minorEastAsia" w:hint="eastAsia"/>
          <w:b/>
          <w:bCs/>
          <w:szCs w:val="21"/>
        </w:rPr>
        <w:t>目的</w:t>
      </w:r>
    </w:p>
    <w:p w14:paraId="027D95F0" w14:textId="5B4A9170" w:rsidR="00341B73" w:rsidRDefault="00341B73" w:rsidP="0001709D">
      <w:pPr>
        <w:ind w:firstLineChars="100" w:firstLine="210"/>
        <w:rPr>
          <w:rFonts w:asciiTheme="minorEastAsia" w:hAnsiTheme="minorEastAsia"/>
          <w:szCs w:val="21"/>
        </w:rPr>
      </w:pPr>
      <w:r>
        <w:rPr>
          <w:rFonts w:asciiTheme="minorEastAsia" w:hAnsiTheme="minorEastAsia" w:hint="eastAsia"/>
          <w:szCs w:val="21"/>
        </w:rPr>
        <w:t>本覚書の条項、自国の法令、政府方針、規則及び規制の対象となる両当事者は、本覚書の諸条件に定められている協力事業の実施を通じて、</w:t>
      </w:r>
      <w:r w:rsidR="008C4BED">
        <w:rPr>
          <w:rFonts w:asciiTheme="minorEastAsia" w:hAnsiTheme="minorEastAsia" w:hint="eastAsia"/>
          <w:szCs w:val="21"/>
        </w:rPr>
        <w:t>両港湾</w:t>
      </w:r>
      <w:r>
        <w:rPr>
          <w:rFonts w:asciiTheme="minorEastAsia" w:hAnsiTheme="minorEastAsia" w:hint="eastAsia"/>
          <w:szCs w:val="21"/>
        </w:rPr>
        <w:t>の</w:t>
      </w:r>
      <w:r w:rsidR="00784CA7">
        <w:rPr>
          <w:rFonts w:asciiTheme="minorEastAsia" w:hAnsiTheme="minorEastAsia" w:hint="eastAsia"/>
          <w:szCs w:val="21"/>
        </w:rPr>
        <w:t>友好</w:t>
      </w:r>
      <w:r>
        <w:rPr>
          <w:rFonts w:asciiTheme="minorEastAsia" w:hAnsiTheme="minorEastAsia" w:hint="eastAsia"/>
          <w:szCs w:val="21"/>
        </w:rPr>
        <w:t>親善と相互理解を促進するため、互いを</w:t>
      </w:r>
      <w:r w:rsidR="00784CA7">
        <w:rPr>
          <w:rFonts w:asciiTheme="minorEastAsia" w:hAnsiTheme="minorEastAsia" w:hint="eastAsia"/>
          <w:szCs w:val="21"/>
        </w:rPr>
        <w:t>パートナーシップ</w:t>
      </w:r>
      <w:r>
        <w:rPr>
          <w:rFonts w:asciiTheme="minorEastAsia" w:hAnsiTheme="minorEastAsia" w:hint="eastAsia"/>
          <w:szCs w:val="21"/>
        </w:rPr>
        <w:t>港として認識し、パートナーシップ港関係を構築することに合意する。</w:t>
      </w:r>
    </w:p>
    <w:p w14:paraId="48534DC9" w14:textId="77777777" w:rsidR="00341B73" w:rsidRDefault="00341B73" w:rsidP="00F169C6">
      <w:pPr>
        <w:rPr>
          <w:rFonts w:asciiTheme="minorEastAsia" w:hAnsiTheme="minorEastAsia"/>
          <w:szCs w:val="21"/>
        </w:rPr>
      </w:pPr>
    </w:p>
    <w:p w14:paraId="15C66303" w14:textId="4291D519" w:rsidR="00341B73" w:rsidRPr="00F169C6" w:rsidRDefault="00341B73" w:rsidP="00F169C6">
      <w:pPr>
        <w:rPr>
          <w:rFonts w:asciiTheme="minorEastAsia" w:hAnsiTheme="minorEastAsia"/>
          <w:b/>
          <w:bCs/>
          <w:szCs w:val="21"/>
        </w:rPr>
      </w:pPr>
      <w:r w:rsidRPr="00F169C6">
        <w:rPr>
          <w:rFonts w:asciiTheme="minorEastAsia" w:hAnsiTheme="minorEastAsia" w:hint="eastAsia"/>
          <w:b/>
          <w:bCs/>
          <w:szCs w:val="21"/>
        </w:rPr>
        <w:t>第２条</w:t>
      </w:r>
      <w:r w:rsidR="0001709D">
        <w:rPr>
          <w:rFonts w:asciiTheme="minorEastAsia" w:hAnsiTheme="minorEastAsia" w:hint="eastAsia"/>
          <w:b/>
          <w:bCs/>
          <w:szCs w:val="21"/>
        </w:rPr>
        <w:t xml:space="preserve">　</w:t>
      </w:r>
      <w:r w:rsidRPr="00F169C6">
        <w:rPr>
          <w:rFonts w:asciiTheme="minorEastAsia" w:hAnsiTheme="minorEastAsia" w:hint="eastAsia"/>
          <w:b/>
          <w:bCs/>
          <w:szCs w:val="21"/>
        </w:rPr>
        <w:t>協力形態</w:t>
      </w:r>
    </w:p>
    <w:p w14:paraId="5779AF01" w14:textId="2F81FA44" w:rsidR="00341B73" w:rsidRDefault="00341B73" w:rsidP="0001709D">
      <w:pPr>
        <w:ind w:firstLineChars="100" w:firstLine="210"/>
        <w:rPr>
          <w:rFonts w:asciiTheme="minorEastAsia" w:hAnsiTheme="minorEastAsia"/>
          <w:szCs w:val="21"/>
        </w:rPr>
      </w:pPr>
      <w:r>
        <w:rPr>
          <w:rFonts w:asciiTheme="minorEastAsia" w:hAnsiTheme="minorEastAsia" w:hint="eastAsia"/>
          <w:szCs w:val="21"/>
        </w:rPr>
        <w:t>両国で有効な法令、規制、手続き、政府方針の</w:t>
      </w:r>
      <w:r w:rsidR="004A2EBA">
        <w:rPr>
          <w:rFonts w:asciiTheme="minorEastAsia" w:hAnsiTheme="minorEastAsia" w:hint="eastAsia"/>
          <w:szCs w:val="21"/>
        </w:rPr>
        <w:t>対象となる</w:t>
      </w:r>
      <w:r>
        <w:rPr>
          <w:rFonts w:asciiTheme="minorEastAsia" w:hAnsiTheme="minorEastAsia" w:hint="eastAsia"/>
          <w:szCs w:val="21"/>
        </w:rPr>
        <w:t>両当事者は、港湾研究、研修及び実習、情報交換や、</w:t>
      </w:r>
      <w:r w:rsidR="008C4BED">
        <w:rPr>
          <w:rFonts w:asciiTheme="minorEastAsia" w:hAnsiTheme="minorEastAsia" w:hint="eastAsia"/>
          <w:szCs w:val="21"/>
        </w:rPr>
        <w:t>両港湾</w:t>
      </w:r>
      <w:r w:rsidR="0026431A">
        <w:rPr>
          <w:rFonts w:asciiTheme="minorEastAsia" w:hAnsiTheme="minorEastAsia" w:hint="eastAsia"/>
          <w:szCs w:val="21"/>
        </w:rPr>
        <w:t>間の</w:t>
      </w:r>
      <w:r>
        <w:rPr>
          <w:rFonts w:asciiTheme="minorEastAsia" w:hAnsiTheme="minorEastAsia" w:hint="eastAsia"/>
          <w:szCs w:val="21"/>
        </w:rPr>
        <w:t>貿易・交通・サービス向上方法の模索</w:t>
      </w:r>
      <w:r w:rsidR="00A8452E">
        <w:rPr>
          <w:rFonts w:asciiTheme="minorEastAsia" w:hAnsiTheme="minorEastAsia" w:hint="eastAsia"/>
          <w:szCs w:val="21"/>
        </w:rPr>
        <w:t>を通して</w:t>
      </w:r>
      <w:r w:rsidR="0026431A">
        <w:rPr>
          <w:rFonts w:asciiTheme="minorEastAsia" w:hAnsiTheme="minorEastAsia" w:hint="eastAsia"/>
          <w:szCs w:val="21"/>
        </w:rPr>
        <w:t>、</w:t>
      </w:r>
      <w:r>
        <w:rPr>
          <w:rFonts w:asciiTheme="minorEastAsia" w:hAnsiTheme="minorEastAsia" w:hint="eastAsia"/>
          <w:szCs w:val="21"/>
        </w:rPr>
        <w:t>協力体制を確立することに合意する。</w:t>
      </w:r>
    </w:p>
    <w:p w14:paraId="48360389" w14:textId="77777777" w:rsidR="00341B73" w:rsidRDefault="00341B73" w:rsidP="00F169C6">
      <w:pPr>
        <w:rPr>
          <w:rFonts w:asciiTheme="minorEastAsia" w:hAnsiTheme="minorEastAsia"/>
          <w:szCs w:val="21"/>
        </w:rPr>
      </w:pPr>
    </w:p>
    <w:p w14:paraId="3855A0D9" w14:textId="3DFCAC03" w:rsidR="00341B73" w:rsidRPr="00F169C6" w:rsidRDefault="00341B73" w:rsidP="00F169C6">
      <w:pPr>
        <w:rPr>
          <w:rFonts w:asciiTheme="minorEastAsia" w:hAnsiTheme="minorEastAsia"/>
          <w:b/>
          <w:bCs/>
          <w:szCs w:val="21"/>
        </w:rPr>
      </w:pPr>
      <w:r w:rsidRPr="00F169C6">
        <w:rPr>
          <w:rFonts w:asciiTheme="minorEastAsia" w:hAnsiTheme="minorEastAsia" w:hint="eastAsia"/>
          <w:b/>
          <w:bCs/>
          <w:szCs w:val="21"/>
        </w:rPr>
        <w:t>第３条</w:t>
      </w:r>
      <w:r w:rsidR="0001709D">
        <w:rPr>
          <w:rFonts w:asciiTheme="minorEastAsia" w:hAnsiTheme="minorEastAsia" w:hint="eastAsia"/>
          <w:b/>
          <w:bCs/>
          <w:szCs w:val="21"/>
        </w:rPr>
        <w:t xml:space="preserve">　</w:t>
      </w:r>
      <w:r w:rsidRPr="00F169C6">
        <w:rPr>
          <w:rFonts w:asciiTheme="minorEastAsia" w:hAnsiTheme="minorEastAsia" w:hint="eastAsia"/>
          <w:b/>
          <w:bCs/>
          <w:szCs w:val="21"/>
        </w:rPr>
        <w:t>対象領域</w:t>
      </w:r>
    </w:p>
    <w:p w14:paraId="079DAE7B" w14:textId="1ACA21FF" w:rsidR="00341B73" w:rsidRDefault="00341B73" w:rsidP="0001709D">
      <w:pPr>
        <w:ind w:firstLineChars="100" w:firstLine="210"/>
        <w:rPr>
          <w:rFonts w:asciiTheme="minorEastAsia" w:hAnsiTheme="minorEastAsia"/>
          <w:szCs w:val="21"/>
        </w:rPr>
      </w:pPr>
      <w:r>
        <w:rPr>
          <w:rFonts w:asciiTheme="minorEastAsia" w:hAnsiTheme="minorEastAsia" w:hint="eastAsia"/>
          <w:szCs w:val="21"/>
        </w:rPr>
        <w:t>両当事者は、本覚書の趣旨達成のため、可能な限り、相互支援と相互協力に努める。特に、</w:t>
      </w:r>
    </w:p>
    <w:p w14:paraId="71D521BC" w14:textId="72222A56" w:rsidR="00341B73" w:rsidRDefault="0001709D" w:rsidP="00F169C6">
      <w:pPr>
        <w:ind w:leftChars="100" w:left="210"/>
        <w:rPr>
          <w:rFonts w:asciiTheme="minorEastAsia" w:hAnsiTheme="minorEastAsia"/>
          <w:szCs w:val="21"/>
        </w:rPr>
      </w:pPr>
      <w:r>
        <w:rPr>
          <w:rFonts w:asciiTheme="minorEastAsia" w:hAnsiTheme="minorEastAsia" w:hint="eastAsia"/>
          <w:szCs w:val="21"/>
        </w:rPr>
        <w:t>１．</w:t>
      </w:r>
      <w:r w:rsidR="00341B73">
        <w:rPr>
          <w:rFonts w:asciiTheme="minorEastAsia" w:hAnsiTheme="minorEastAsia" w:hint="eastAsia"/>
          <w:szCs w:val="21"/>
        </w:rPr>
        <w:t>港湾研究</w:t>
      </w:r>
    </w:p>
    <w:p w14:paraId="12B89513" w14:textId="5B9569A5" w:rsidR="00341B73" w:rsidRDefault="00341B73" w:rsidP="00F169C6">
      <w:pPr>
        <w:ind w:leftChars="100" w:left="210" w:firstLineChars="100" w:firstLine="210"/>
        <w:rPr>
          <w:rFonts w:asciiTheme="minorEastAsia" w:hAnsiTheme="minorEastAsia"/>
          <w:szCs w:val="21"/>
        </w:rPr>
      </w:pPr>
      <w:r>
        <w:rPr>
          <w:rFonts w:asciiTheme="minorEastAsia" w:hAnsiTheme="minorEastAsia" w:hint="eastAsia"/>
          <w:szCs w:val="21"/>
        </w:rPr>
        <w:t>両当事者は、互いが合意した港湾関連事業のフィジビリティ・スタディ（実現可能性調査）の実施や情報交換を行うことに同意する。</w:t>
      </w:r>
    </w:p>
    <w:p w14:paraId="19DF1DAD" w14:textId="77E10E96" w:rsidR="00341B73" w:rsidRDefault="0001709D" w:rsidP="00F169C6">
      <w:pPr>
        <w:ind w:leftChars="100" w:left="210"/>
        <w:rPr>
          <w:rFonts w:asciiTheme="minorEastAsia" w:hAnsiTheme="minorEastAsia"/>
          <w:szCs w:val="21"/>
        </w:rPr>
      </w:pPr>
      <w:r>
        <w:rPr>
          <w:rFonts w:asciiTheme="minorEastAsia" w:hAnsiTheme="minorEastAsia" w:hint="eastAsia"/>
          <w:szCs w:val="21"/>
        </w:rPr>
        <w:t>２．</w:t>
      </w:r>
      <w:r w:rsidR="00341B73">
        <w:rPr>
          <w:rFonts w:asciiTheme="minorEastAsia" w:hAnsiTheme="minorEastAsia" w:hint="eastAsia"/>
          <w:szCs w:val="21"/>
        </w:rPr>
        <w:t>研修及び実習</w:t>
      </w:r>
    </w:p>
    <w:p w14:paraId="7BEBEA16" w14:textId="0FF9992A" w:rsidR="00341B73" w:rsidRDefault="00341B73" w:rsidP="00F169C6">
      <w:pPr>
        <w:ind w:leftChars="100" w:left="210" w:firstLineChars="100" w:firstLine="210"/>
        <w:rPr>
          <w:rFonts w:asciiTheme="minorEastAsia" w:hAnsiTheme="minorEastAsia"/>
          <w:szCs w:val="21"/>
        </w:rPr>
      </w:pPr>
      <w:r>
        <w:rPr>
          <w:rFonts w:asciiTheme="minorEastAsia" w:hAnsiTheme="minorEastAsia" w:hint="eastAsia"/>
          <w:szCs w:val="21"/>
        </w:rPr>
        <w:t>両当事者は、例えば</w:t>
      </w:r>
    </w:p>
    <w:p w14:paraId="7FD9A871" w14:textId="61C6FEF0" w:rsidR="00341B73" w:rsidRDefault="00341B73" w:rsidP="00F169C6">
      <w:pPr>
        <w:ind w:leftChars="100" w:left="210"/>
        <w:rPr>
          <w:rFonts w:asciiTheme="minorEastAsia" w:hAnsiTheme="minorEastAsia"/>
          <w:szCs w:val="21"/>
        </w:rPr>
      </w:pPr>
      <w:r>
        <w:rPr>
          <w:rFonts w:asciiTheme="minorEastAsia" w:hAnsiTheme="minorEastAsia" w:hint="eastAsia"/>
          <w:szCs w:val="21"/>
        </w:rPr>
        <w:t>a</w:t>
      </w:r>
      <w:r>
        <w:rPr>
          <w:rFonts w:asciiTheme="minorEastAsia" w:hAnsiTheme="minorEastAsia"/>
          <w:szCs w:val="21"/>
        </w:rPr>
        <w:t>)</w:t>
      </w:r>
      <w:r w:rsidR="004A2EBA">
        <w:rPr>
          <w:rFonts w:asciiTheme="minorEastAsia" w:hAnsiTheme="minorEastAsia" w:hint="eastAsia"/>
          <w:szCs w:val="21"/>
        </w:rPr>
        <w:t xml:space="preserve"> </w:t>
      </w:r>
      <w:r>
        <w:rPr>
          <w:rFonts w:asciiTheme="minorEastAsia" w:hAnsiTheme="minorEastAsia" w:hint="eastAsia"/>
          <w:szCs w:val="21"/>
        </w:rPr>
        <w:t>ターミナルの管理・運営</w:t>
      </w:r>
    </w:p>
    <w:p w14:paraId="085906C6" w14:textId="2DFCA5E9" w:rsidR="00341B73" w:rsidRDefault="00341B73" w:rsidP="00F169C6">
      <w:pPr>
        <w:ind w:leftChars="100" w:left="210"/>
        <w:rPr>
          <w:rFonts w:asciiTheme="minorEastAsia" w:hAnsiTheme="minorEastAsia"/>
          <w:szCs w:val="21"/>
        </w:rPr>
      </w:pPr>
      <w:r>
        <w:rPr>
          <w:rFonts w:asciiTheme="minorEastAsia" w:hAnsiTheme="minorEastAsia" w:hint="eastAsia"/>
          <w:szCs w:val="21"/>
        </w:rPr>
        <w:t>b</w:t>
      </w:r>
      <w:r>
        <w:rPr>
          <w:rFonts w:asciiTheme="minorEastAsia" w:hAnsiTheme="minorEastAsia"/>
          <w:szCs w:val="21"/>
        </w:rPr>
        <w:t>)</w:t>
      </w:r>
      <w:r w:rsidR="004A2EBA">
        <w:rPr>
          <w:rFonts w:asciiTheme="minorEastAsia" w:hAnsiTheme="minorEastAsia"/>
          <w:szCs w:val="21"/>
        </w:rPr>
        <w:t xml:space="preserve"> </w:t>
      </w:r>
      <w:r w:rsidR="00334935">
        <w:rPr>
          <w:rFonts w:asciiTheme="minorEastAsia" w:hAnsiTheme="minorEastAsia" w:hint="eastAsia"/>
          <w:szCs w:val="21"/>
        </w:rPr>
        <w:t>海上交通の管理　－　海上（水路）における船舶の安全</w:t>
      </w:r>
    </w:p>
    <w:p w14:paraId="7F20D13B" w14:textId="17D38027" w:rsidR="00341B73" w:rsidRDefault="00341B73" w:rsidP="00F169C6">
      <w:pPr>
        <w:ind w:leftChars="100" w:left="210"/>
        <w:rPr>
          <w:rFonts w:asciiTheme="minorEastAsia" w:hAnsiTheme="minorEastAsia"/>
          <w:szCs w:val="21"/>
        </w:rPr>
      </w:pPr>
      <w:r>
        <w:rPr>
          <w:rFonts w:asciiTheme="minorEastAsia" w:hAnsiTheme="minorEastAsia" w:hint="eastAsia"/>
          <w:szCs w:val="21"/>
        </w:rPr>
        <w:t>c</w:t>
      </w:r>
      <w:r>
        <w:rPr>
          <w:rFonts w:asciiTheme="minorEastAsia" w:hAnsiTheme="minorEastAsia"/>
          <w:szCs w:val="21"/>
        </w:rPr>
        <w:t>)</w:t>
      </w:r>
      <w:r w:rsidR="00334935">
        <w:rPr>
          <w:rFonts w:asciiTheme="minorEastAsia" w:hAnsiTheme="minorEastAsia" w:hint="eastAsia"/>
          <w:szCs w:val="21"/>
        </w:rPr>
        <w:t>港内船舶航行管理システム（V</w:t>
      </w:r>
      <w:r w:rsidR="00334935">
        <w:rPr>
          <w:rFonts w:asciiTheme="minorEastAsia" w:hAnsiTheme="minorEastAsia"/>
          <w:szCs w:val="21"/>
        </w:rPr>
        <w:t>TMS</w:t>
      </w:r>
      <w:r w:rsidR="00334935">
        <w:rPr>
          <w:rFonts w:asciiTheme="minorEastAsia" w:hAnsiTheme="minorEastAsia" w:hint="eastAsia"/>
          <w:szCs w:val="21"/>
        </w:rPr>
        <w:t>）の導入と運用</w:t>
      </w:r>
    </w:p>
    <w:p w14:paraId="0B97F02E" w14:textId="7E16DF84" w:rsidR="00334935" w:rsidRDefault="00334935" w:rsidP="00F169C6">
      <w:pPr>
        <w:ind w:leftChars="100" w:left="210"/>
        <w:rPr>
          <w:rFonts w:asciiTheme="minorEastAsia" w:hAnsiTheme="minorEastAsia"/>
          <w:szCs w:val="21"/>
        </w:rPr>
      </w:pPr>
      <w:r>
        <w:rPr>
          <w:rFonts w:asciiTheme="minorEastAsia" w:hAnsiTheme="minorEastAsia" w:hint="eastAsia"/>
          <w:szCs w:val="21"/>
        </w:rPr>
        <w:lastRenderedPageBreak/>
        <w:t>といった分野において、港の効率性及び実効性の向上を目的とした人材交流研修を行うことに合意する。</w:t>
      </w:r>
    </w:p>
    <w:p w14:paraId="21176BCD" w14:textId="75759FB8" w:rsidR="00334935" w:rsidRDefault="00334935" w:rsidP="00F169C6">
      <w:pPr>
        <w:ind w:leftChars="100" w:left="210"/>
        <w:rPr>
          <w:rFonts w:asciiTheme="minorEastAsia" w:hAnsiTheme="minorEastAsia"/>
          <w:szCs w:val="21"/>
        </w:rPr>
      </w:pPr>
      <w:r>
        <w:rPr>
          <w:rFonts w:asciiTheme="minorEastAsia" w:hAnsiTheme="minorEastAsia" w:hint="eastAsia"/>
          <w:szCs w:val="21"/>
        </w:rPr>
        <w:t>３．情報交換</w:t>
      </w:r>
    </w:p>
    <w:p w14:paraId="590D4BFB" w14:textId="150958B4" w:rsidR="00334935" w:rsidRDefault="00025B7D" w:rsidP="00F169C6">
      <w:pPr>
        <w:ind w:leftChars="100" w:left="210" w:firstLineChars="100" w:firstLine="210"/>
        <w:rPr>
          <w:rFonts w:asciiTheme="minorEastAsia" w:hAnsiTheme="minorEastAsia"/>
          <w:szCs w:val="21"/>
        </w:rPr>
      </w:pPr>
      <w:r>
        <w:rPr>
          <w:rFonts w:asciiTheme="minorEastAsia" w:hAnsiTheme="minorEastAsia" w:hint="eastAsia"/>
          <w:szCs w:val="21"/>
        </w:rPr>
        <w:t>いずれの当事者も他方の当事者に対して、</w:t>
      </w:r>
      <w:r w:rsidR="008C4BED">
        <w:rPr>
          <w:rFonts w:asciiTheme="minorEastAsia" w:hAnsiTheme="minorEastAsia" w:hint="eastAsia"/>
          <w:szCs w:val="21"/>
        </w:rPr>
        <w:t>両港湾</w:t>
      </w:r>
      <w:r w:rsidR="00334935">
        <w:rPr>
          <w:rFonts w:asciiTheme="minorEastAsia" w:hAnsiTheme="minorEastAsia" w:hint="eastAsia"/>
          <w:szCs w:val="21"/>
        </w:rPr>
        <w:t>間の統計データ（取扱貨物、航路数など）、</w:t>
      </w:r>
      <w:r w:rsidR="008C4BED">
        <w:rPr>
          <w:rFonts w:asciiTheme="minorEastAsia" w:hAnsiTheme="minorEastAsia" w:hint="eastAsia"/>
          <w:szCs w:val="21"/>
        </w:rPr>
        <w:t>両港湾</w:t>
      </w:r>
      <w:r w:rsidR="00334935">
        <w:rPr>
          <w:rFonts w:asciiTheme="minorEastAsia" w:hAnsiTheme="minorEastAsia" w:hint="eastAsia"/>
          <w:szCs w:val="21"/>
        </w:rPr>
        <w:t>を利用する船舶の利用状況に関する情報</w:t>
      </w:r>
      <w:r w:rsidR="004A2EBA">
        <w:rPr>
          <w:rFonts w:asciiTheme="minorEastAsia" w:hAnsiTheme="minorEastAsia" w:hint="eastAsia"/>
          <w:szCs w:val="21"/>
        </w:rPr>
        <w:t>や</w:t>
      </w:r>
      <w:r w:rsidR="00334935">
        <w:rPr>
          <w:rFonts w:asciiTheme="minorEastAsia" w:hAnsiTheme="minorEastAsia" w:hint="eastAsia"/>
          <w:szCs w:val="21"/>
        </w:rPr>
        <w:t>、</w:t>
      </w:r>
      <w:r w:rsidR="008C4BED">
        <w:rPr>
          <w:rFonts w:asciiTheme="minorEastAsia" w:hAnsiTheme="minorEastAsia" w:hint="eastAsia"/>
          <w:szCs w:val="21"/>
        </w:rPr>
        <w:t>両港湾</w:t>
      </w:r>
      <w:r w:rsidR="00334935">
        <w:rPr>
          <w:rFonts w:asciiTheme="minorEastAsia" w:hAnsiTheme="minorEastAsia" w:hint="eastAsia"/>
          <w:szCs w:val="21"/>
        </w:rPr>
        <w:t>にとって利益となるその他の港湾関連情報に関して、協議や情報交換を依頼することができる。</w:t>
      </w:r>
    </w:p>
    <w:p w14:paraId="33D156A4" w14:textId="5FFE3B7C" w:rsidR="00334935" w:rsidRDefault="0001709D" w:rsidP="00F169C6">
      <w:pPr>
        <w:ind w:leftChars="100" w:left="210"/>
        <w:rPr>
          <w:rFonts w:asciiTheme="minorEastAsia" w:hAnsiTheme="minorEastAsia"/>
          <w:szCs w:val="21"/>
        </w:rPr>
      </w:pPr>
      <w:r>
        <w:rPr>
          <w:rFonts w:asciiTheme="minorEastAsia" w:hAnsiTheme="minorEastAsia" w:hint="eastAsia"/>
          <w:szCs w:val="21"/>
        </w:rPr>
        <w:t>４．</w:t>
      </w:r>
      <w:r w:rsidR="00334935">
        <w:rPr>
          <w:rFonts w:asciiTheme="minorEastAsia" w:hAnsiTheme="minorEastAsia" w:hint="eastAsia"/>
          <w:szCs w:val="21"/>
        </w:rPr>
        <w:t>技術支援</w:t>
      </w:r>
    </w:p>
    <w:p w14:paraId="0C38A2D8" w14:textId="52386D9F" w:rsidR="00334935" w:rsidRDefault="00025B7D" w:rsidP="00F169C6">
      <w:pPr>
        <w:ind w:leftChars="100" w:left="210" w:firstLineChars="100" w:firstLine="210"/>
        <w:rPr>
          <w:rFonts w:asciiTheme="minorEastAsia" w:hAnsiTheme="minorEastAsia"/>
          <w:szCs w:val="21"/>
        </w:rPr>
      </w:pPr>
      <w:r>
        <w:rPr>
          <w:rFonts w:asciiTheme="minorEastAsia" w:hAnsiTheme="minorEastAsia" w:hint="eastAsia"/>
          <w:szCs w:val="21"/>
        </w:rPr>
        <w:t>いずれの当事者も他方の当事者に対して、</w:t>
      </w:r>
      <w:r w:rsidR="00334935">
        <w:rPr>
          <w:rFonts w:asciiTheme="minorEastAsia" w:hAnsiTheme="minorEastAsia" w:hint="eastAsia"/>
          <w:szCs w:val="21"/>
        </w:rPr>
        <w:t>技術的なインプット（知識）の向上や港湾施設、設備、</w:t>
      </w:r>
      <w:r>
        <w:rPr>
          <w:rFonts w:asciiTheme="minorEastAsia" w:hAnsiTheme="minorEastAsia" w:hint="eastAsia"/>
          <w:szCs w:val="21"/>
        </w:rPr>
        <w:t>機械</w:t>
      </w:r>
      <w:r w:rsidR="00334935">
        <w:rPr>
          <w:rFonts w:asciiTheme="minorEastAsia" w:hAnsiTheme="minorEastAsia" w:hint="eastAsia"/>
          <w:szCs w:val="21"/>
        </w:rPr>
        <w:t>（例：無線通信）の有効活用につながる助言や情報交換を依頼することができる。</w:t>
      </w:r>
    </w:p>
    <w:p w14:paraId="0DE9C001" w14:textId="3E43DBC3" w:rsidR="00334935" w:rsidRDefault="0001709D" w:rsidP="00F169C6">
      <w:pPr>
        <w:ind w:leftChars="100" w:left="210"/>
        <w:rPr>
          <w:rFonts w:asciiTheme="minorEastAsia" w:hAnsiTheme="minorEastAsia"/>
          <w:szCs w:val="21"/>
        </w:rPr>
      </w:pPr>
      <w:r>
        <w:rPr>
          <w:rFonts w:asciiTheme="minorEastAsia" w:hAnsiTheme="minorEastAsia" w:hint="eastAsia"/>
          <w:szCs w:val="21"/>
        </w:rPr>
        <w:t>５．</w:t>
      </w:r>
      <w:r w:rsidR="008C4BED">
        <w:rPr>
          <w:rFonts w:asciiTheme="minorEastAsia" w:hAnsiTheme="minorEastAsia" w:hint="eastAsia"/>
          <w:szCs w:val="21"/>
        </w:rPr>
        <w:t>両港湾</w:t>
      </w:r>
      <w:r w:rsidR="00334935">
        <w:rPr>
          <w:rFonts w:asciiTheme="minorEastAsia" w:hAnsiTheme="minorEastAsia" w:hint="eastAsia"/>
          <w:szCs w:val="21"/>
        </w:rPr>
        <w:t>間の航路拡充とサービスの充実</w:t>
      </w:r>
    </w:p>
    <w:p w14:paraId="458BB299" w14:textId="377EEEE3" w:rsidR="00334935" w:rsidRDefault="00334935" w:rsidP="00F169C6">
      <w:pPr>
        <w:ind w:leftChars="100" w:left="210" w:firstLineChars="100" w:firstLine="210"/>
        <w:rPr>
          <w:rFonts w:asciiTheme="minorEastAsia" w:hAnsiTheme="minorEastAsia"/>
          <w:szCs w:val="21"/>
        </w:rPr>
      </w:pPr>
      <w:r>
        <w:rPr>
          <w:rFonts w:asciiTheme="minorEastAsia" w:hAnsiTheme="minorEastAsia" w:hint="eastAsia"/>
          <w:szCs w:val="21"/>
        </w:rPr>
        <w:t>両当事者は、貨物及び貿易の拡充</w:t>
      </w:r>
      <w:r w:rsidR="00025B7D">
        <w:rPr>
          <w:rFonts w:asciiTheme="minorEastAsia" w:hAnsiTheme="minorEastAsia" w:hint="eastAsia"/>
          <w:szCs w:val="21"/>
        </w:rPr>
        <w:t>や</w:t>
      </w:r>
      <w:r>
        <w:rPr>
          <w:rFonts w:asciiTheme="minorEastAsia" w:hAnsiTheme="minorEastAsia" w:hint="eastAsia"/>
          <w:szCs w:val="21"/>
        </w:rPr>
        <w:t>、ビジネス</w:t>
      </w:r>
      <w:r w:rsidR="00025B7D">
        <w:rPr>
          <w:rFonts w:asciiTheme="minorEastAsia" w:hAnsiTheme="minorEastAsia" w:hint="eastAsia"/>
          <w:szCs w:val="21"/>
        </w:rPr>
        <w:t>チャンス</w:t>
      </w:r>
      <w:r>
        <w:rPr>
          <w:rFonts w:asciiTheme="minorEastAsia" w:hAnsiTheme="minorEastAsia" w:hint="eastAsia"/>
          <w:szCs w:val="21"/>
        </w:rPr>
        <w:t>の創出につながる</w:t>
      </w:r>
      <w:r w:rsidR="008C4BED">
        <w:rPr>
          <w:rFonts w:asciiTheme="minorEastAsia" w:hAnsiTheme="minorEastAsia" w:hint="eastAsia"/>
          <w:szCs w:val="21"/>
        </w:rPr>
        <w:t>両港湾</w:t>
      </w:r>
      <w:r>
        <w:rPr>
          <w:rFonts w:asciiTheme="minorEastAsia" w:hAnsiTheme="minorEastAsia" w:hint="eastAsia"/>
          <w:szCs w:val="21"/>
        </w:rPr>
        <w:t>の利用拡大を目的としたプロモーションを</w:t>
      </w:r>
      <w:r w:rsidR="008C4BED">
        <w:rPr>
          <w:rFonts w:asciiTheme="minorEastAsia" w:hAnsiTheme="minorEastAsia" w:hint="eastAsia"/>
          <w:szCs w:val="21"/>
        </w:rPr>
        <w:t>両港湾</w:t>
      </w:r>
      <w:r w:rsidR="0001709D">
        <w:rPr>
          <w:rFonts w:asciiTheme="minorEastAsia" w:hAnsiTheme="minorEastAsia" w:hint="eastAsia"/>
          <w:szCs w:val="21"/>
        </w:rPr>
        <w:t>間</w:t>
      </w:r>
      <w:r>
        <w:rPr>
          <w:rFonts w:asciiTheme="minorEastAsia" w:hAnsiTheme="minorEastAsia" w:hint="eastAsia"/>
          <w:szCs w:val="21"/>
        </w:rPr>
        <w:t>で実施することができる。</w:t>
      </w:r>
    </w:p>
    <w:p w14:paraId="1C90BD0E" w14:textId="77777777" w:rsidR="00334935" w:rsidRDefault="00334935" w:rsidP="00F169C6">
      <w:pPr>
        <w:rPr>
          <w:rFonts w:asciiTheme="minorEastAsia" w:hAnsiTheme="minorEastAsia"/>
          <w:szCs w:val="21"/>
        </w:rPr>
      </w:pPr>
    </w:p>
    <w:p w14:paraId="6EA45F39" w14:textId="52D5A1D8" w:rsidR="00334935" w:rsidRPr="00F169C6" w:rsidRDefault="00334935" w:rsidP="00F169C6">
      <w:pPr>
        <w:rPr>
          <w:rFonts w:asciiTheme="minorEastAsia" w:hAnsiTheme="minorEastAsia"/>
          <w:b/>
          <w:bCs/>
          <w:szCs w:val="21"/>
        </w:rPr>
      </w:pPr>
      <w:r w:rsidRPr="00F169C6">
        <w:rPr>
          <w:rFonts w:asciiTheme="minorEastAsia" w:hAnsiTheme="minorEastAsia" w:hint="eastAsia"/>
          <w:b/>
          <w:bCs/>
          <w:szCs w:val="21"/>
        </w:rPr>
        <w:t>第４条</w:t>
      </w:r>
      <w:r w:rsidR="0001709D" w:rsidRPr="00F169C6">
        <w:rPr>
          <w:rFonts w:asciiTheme="minorEastAsia" w:hAnsiTheme="minorEastAsia" w:hint="eastAsia"/>
          <w:b/>
          <w:bCs/>
          <w:szCs w:val="21"/>
        </w:rPr>
        <w:t xml:space="preserve">　</w:t>
      </w:r>
      <w:r w:rsidR="00025B7D">
        <w:rPr>
          <w:rFonts w:asciiTheme="minorEastAsia" w:hAnsiTheme="minorEastAsia" w:hint="eastAsia"/>
          <w:b/>
          <w:bCs/>
          <w:szCs w:val="21"/>
        </w:rPr>
        <w:t>研修及び実習</w:t>
      </w:r>
      <w:r w:rsidRPr="00F169C6">
        <w:rPr>
          <w:rFonts w:asciiTheme="minorEastAsia" w:hAnsiTheme="minorEastAsia" w:hint="eastAsia"/>
          <w:b/>
          <w:bCs/>
          <w:szCs w:val="21"/>
        </w:rPr>
        <w:t>プログラム</w:t>
      </w:r>
    </w:p>
    <w:p w14:paraId="14CB8F10" w14:textId="3F721216" w:rsidR="00334935" w:rsidRDefault="00025B7D" w:rsidP="0001709D">
      <w:pPr>
        <w:ind w:firstLineChars="100" w:firstLine="210"/>
        <w:rPr>
          <w:rFonts w:asciiTheme="minorEastAsia" w:hAnsiTheme="minorEastAsia"/>
          <w:szCs w:val="21"/>
        </w:rPr>
      </w:pPr>
      <w:r>
        <w:rPr>
          <w:rFonts w:asciiTheme="minorEastAsia" w:hAnsiTheme="minorEastAsia" w:hint="eastAsia"/>
          <w:szCs w:val="21"/>
        </w:rPr>
        <w:t>第</w:t>
      </w:r>
      <w:r w:rsidR="00334935">
        <w:rPr>
          <w:rFonts w:asciiTheme="minorEastAsia" w:hAnsiTheme="minorEastAsia" w:hint="eastAsia"/>
          <w:szCs w:val="21"/>
        </w:rPr>
        <w:t>３</w:t>
      </w:r>
      <w:r>
        <w:rPr>
          <w:rFonts w:asciiTheme="minorEastAsia" w:hAnsiTheme="minorEastAsia" w:hint="eastAsia"/>
          <w:szCs w:val="21"/>
        </w:rPr>
        <w:t>条</w:t>
      </w:r>
      <w:r w:rsidR="00334935">
        <w:rPr>
          <w:rFonts w:asciiTheme="minorEastAsia" w:hAnsiTheme="minorEastAsia" w:hint="eastAsia"/>
          <w:szCs w:val="21"/>
        </w:rPr>
        <w:t>２</w:t>
      </w:r>
      <w:r>
        <w:rPr>
          <w:rFonts w:asciiTheme="minorEastAsia" w:hAnsiTheme="minorEastAsia" w:hint="eastAsia"/>
          <w:szCs w:val="21"/>
        </w:rPr>
        <w:t>項</w:t>
      </w:r>
      <w:r w:rsidR="00334935">
        <w:rPr>
          <w:rFonts w:asciiTheme="minorEastAsia" w:hAnsiTheme="minorEastAsia" w:hint="eastAsia"/>
          <w:szCs w:val="21"/>
        </w:rPr>
        <w:t>で示されている</w:t>
      </w:r>
      <w:r>
        <w:rPr>
          <w:rFonts w:asciiTheme="minorEastAsia" w:hAnsiTheme="minorEastAsia" w:hint="eastAsia"/>
          <w:szCs w:val="21"/>
        </w:rPr>
        <w:t>研修及び実習</w:t>
      </w:r>
      <w:r w:rsidR="00334935">
        <w:rPr>
          <w:rFonts w:asciiTheme="minorEastAsia" w:hAnsiTheme="minorEastAsia" w:hint="eastAsia"/>
          <w:szCs w:val="21"/>
        </w:rPr>
        <w:t>プログラムの、期間、具体的な内容、当該プログラム関連事業については、両当事者による個別合意事項の対象となる。</w:t>
      </w:r>
    </w:p>
    <w:p w14:paraId="6A43CF52" w14:textId="77777777" w:rsidR="00334935" w:rsidRDefault="00334935" w:rsidP="00F169C6">
      <w:pPr>
        <w:rPr>
          <w:rFonts w:asciiTheme="minorEastAsia" w:hAnsiTheme="minorEastAsia"/>
          <w:szCs w:val="21"/>
        </w:rPr>
      </w:pPr>
    </w:p>
    <w:p w14:paraId="20831967" w14:textId="4C53C530" w:rsidR="00334935" w:rsidRPr="00F169C6" w:rsidRDefault="00334935" w:rsidP="00F169C6">
      <w:pPr>
        <w:rPr>
          <w:rFonts w:asciiTheme="minorEastAsia" w:hAnsiTheme="minorEastAsia"/>
          <w:b/>
          <w:bCs/>
          <w:szCs w:val="21"/>
        </w:rPr>
      </w:pPr>
      <w:r w:rsidRPr="00F169C6">
        <w:rPr>
          <w:rFonts w:asciiTheme="minorEastAsia" w:hAnsiTheme="minorEastAsia" w:hint="eastAsia"/>
          <w:b/>
          <w:bCs/>
          <w:szCs w:val="21"/>
        </w:rPr>
        <w:t>第５条</w:t>
      </w:r>
      <w:r w:rsidR="0001709D">
        <w:rPr>
          <w:rFonts w:asciiTheme="minorEastAsia" w:hAnsiTheme="minorEastAsia" w:hint="eastAsia"/>
          <w:b/>
          <w:bCs/>
          <w:szCs w:val="21"/>
        </w:rPr>
        <w:t xml:space="preserve">　</w:t>
      </w:r>
      <w:r w:rsidRPr="00F169C6">
        <w:rPr>
          <w:rFonts w:asciiTheme="minorEastAsia" w:hAnsiTheme="minorEastAsia" w:hint="eastAsia"/>
          <w:b/>
          <w:bCs/>
          <w:szCs w:val="21"/>
        </w:rPr>
        <w:t>費用負担に関する合意</w:t>
      </w:r>
    </w:p>
    <w:p w14:paraId="78396AC7" w14:textId="2C0463CB" w:rsidR="00334935" w:rsidRDefault="00334935" w:rsidP="0001709D">
      <w:pPr>
        <w:ind w:firstLineChars="100" w:firstLine="210"/>
        <w:rPr>
          <w:rFonts w:asciiTheme="minorEastAsia" w:hAnsiTheme="minorEastAsia"/>
          <w:szCs w:val="21"/>
        </w:rPr>
      </w:pPr>
      <w:r>
        <w:rPr>
          <w:rFonts w:asciiTheme="minorEastAsia" w:hAnsiTheme="minorEastAsia" w:hint="eastAsia"/>
          <w:szCs w:val="21"/>
        </w:rPr>
        <w:t>本覚書の枠組みにおいて実施される共同事業の費用負担の原則及び費用負担に</w:t>
      </w:r>
      <w:r w:rsidR="00025B7D">
        <w:rPr>
          <w:rFonts w:asciiTheme="minorEastAsia" w:hAnsiTheme="minorEastAsia" w:hint="eastAsia"/>
          <w:szCs w:val="21"/>
        </w:rPr>
        <w:t>かか</w:t>
      </w:r>
      <w:r>
        <w:rPr>
          <w:rFonts w:asciiTheme="minorEastAsia" w:hAnsiTheme="minorEastAsia" w:hint="eastAsia"/>
          <w:szCs w:val="21"/>
        </w:rPr>
        <w:t>る取り決めについては、資金及び資産の利用可能状況を見て、案件ごとに両当事者の相互合意が得られなければならない。</w:t>
      </w:r>
    </w:p>
    <w:p w14:paraId="102F94CB" w14:textId="77777777" w:rsidR="00334935" w:rsidRPr="00025B7D" w:rsidRDefault="00334935" w:rsidP="00F169C6">
      <w:pPr>
        <w:rPr>
          <w:rFonts w:asciiTheme="minorEastAsia" w:hAnsiTheme="minorEastAsia"/>
          <w:szCs w:val="21"/>
        </w:rPr>
      </w:pPr>
    </w:p>
    <w:p w14:paraId="24CD32CA" w14:textId="1D855106" w:rsidR="00334935" w:rsidRPr="00F169C6" w:rsidRDefault="00334935" w:rsidP="00F169C6">
      <w:pPr>
        <w:rPr>
          <w:rFonts w:asciiTheme="minorEastAsia" w:hAnsiTheme="minorEastAsia"/>
          <w:b/>
          <w:bCs/>
          <w:szCs w:val="21"/>
        </w:rPr>
      </w:pPr>
      <w:r w:rsidRPr="00F169C6">
        <w:rPr>
          <w:rFonts w:asciiTheme="minorEastAsia" w:hAnsiTheme="minorEastAsia" w:hint="eastAsia"/>
          <w:b/>
          <w:bCs/>
          <w:szCs w:val="21"/>
        </w:rPr>
        <w:t>第６条</w:t>
      </w:r>
      <w:r w:rsidR="0001709D">
        <w:rPr>
          <w:rFonts w:asciiTheme="minorEastAsia" w:hAnsiTheme="minorEastAsia" w:hint="eastAsia"/>
          <w:b/>
          <w:bCs/>
          <w:szCs w:val="21"/>
        </w:rPr>
        <w:t xml:space="preserve">　</w:t>
      </w:r>
      <w:r w:rsidRPr="00F169C6">
        <w:rPr>
          <w:rFonts w:asciiTheme="minorEastAsia" w:hAnsiTheme="minorEastAsia" w:hint="eastAsia"/>
          <w:b/>
          <w:bCs/>
          <w:szCs w:val="21"/>
        </w:rPr>
        <w:t>知的財産権</w:t>
      </w:r>
    </w:p>
    <w:p w14:paraId="25D991C7" w14:textId="1E82126C" w:rsidR="00334935" w:rsidRDefault="00025B7D" w:rsidP="00F169C6">
      <w:pPr>
        <w:ind w:leftChars="100" w:left="210"/>
        <w:rPr>
          <w:rFonts w:asciiTheme="minorEastAsia" w:hAnsiTheme="minorEastAsia"/>
          <w:szCs w:val="21"/>
        </w:rPr>
      </w:pPr>
      <w:r>
        <w:rPr>
          <w:rFonts w:asciiTheme="minorEastAsia" w:hAnsiTheme="minorEastAsia" w:hint="eastAsia"/>
          <w:szCs w:val="21"/>
        </w:rPr>
        <w:t>１．</w:t>
      </w:r>
      <w:r w:rsidR="00A3619F">
        <w:rPr>
          <w:rFonts w:asciiTheme="minorEastAsia" w:hAnsiTheme="minorEastAsia" w:hint="eastAsia"/>
          <w:szCs w:val="21"/>
        </w:rPr>
        <w:t>知的財産権の保護は、当事者それぞれの国の法令及び規制、両当事者で署名された国際合意に準拠して効力を持つものとする。当事者それぞれの国の法令及び規制の対象となる本覚書による事業を履行するにあたり、作成・準備される製品、文書、資料に対して、いずれの当事者も知的財産権及び所有権を有する。</w:t>
      </w:r>
    </w:p>
    <w:p w14:paraId="050CEF3E" w14:textId="295CBF9E" w:rsidR="00A3619F" w:rsidRDefault="00025B7D" w:rsidP="00F169C6">
      <w:pPr>
        <w:ind w:leftChars="100" w:left="210"/>
        <w:rPr>
          <w:rFonts w:asciiTheme="minorEastAsia" w:hAnsiTheme="minorEastAsia"/>
          <w:szCs w:val="21"/>
        </w:rPr>
      </w:pPr>
      <w:r>
        <w:rPr>
          <w:rFonts w:asciiTheme="minorEastAsia" w:hAnsiTheme="minorEastAsia" w:hint="eastAsia"/>
          <w:szCs w:val="21"/>
        </w:rPr>
        <w:t>２．</w:t>
      </w:r>
      <w:r w:rsidR="00A3619F">
        <w:rPr>
          <w:rFonts w:asciiTheme="minorEastAsia" w:hAnsiTheme="minorEastAsia" w:hint="eastAsia"/>
          <w:szCs w:val="21"/>
        </w:rPr>
        <w:t>いずれの当事者も、他方の当事者の文書による事前合意なしに、他方の当事者の名前、ロゴ、公式標章を、いかなる刊行物、文書、書面に使用することを禁ずる。</w:t>
      </w:r>
    </w:p>
    <w:p w14:paraId="30ECB556" w14:textId="662FCCDD" w:rsidR="00A3619F" w:rsidRDefault="00025B7D" w:rsidP="00F169C6">
      <w:pPr>
        <w:ind w:leftChars="100" w:left="210"/>
        <w:rPr>
          <w:rFonts w:asciiTheme="minorEastAsia" w:hAnsiTheme="minorEastAsia"/>
          <w:szCs w:val="21"/>
        </w:rPr>
      </w:pPr>
      <w:r>
        <w:rPr>
          <w:rFonts w:asciiTheme="minorEastAsia" w:hAnsiTheme="minorEastAsia" w:hint="eastAsia"/>
          <w:szCs w:val="21"/>
        </w:rPr>
        <w:t>３．</w:t>
      </w:r>
      <w:r w:rsidR="00A3619F">
        <w:rPr>
          <w:rFonts w:asciiTheme="minorEastAsia" w:hAnsiTheme="minorEastAsia" w:hint="eastAsia"/>
          <w:szCs w:val="21"/>
        </w:rPr>
        <w:t>本条項の規定にかかわらず、各当事者が独自で開発した技術、製品、サービスに関しては、各当事者が知的財産権を有するものとする。</w:t>
      </w:r>
    </w:p>
    <w:p w14:paraId="19782E26" w14:textId="77777777" w:rsidR="00A3619F" w:rsidRDefault="00A3619F" w:rsidP="00F169C6">
      <w:pPr>
        <w:rPr>
          <w:rFonts w:asciiTheme="minorEastAsia" w:hAnsiTheme="minorEastAsia"/>
          <w:szCs w:val="21"/>
        </w:rPr>
      </w:pPr>
    </w:p>
    <w:p w14:paraId="38191F31" w14:textId="0A135AA2" w:rsidR="00A3619F" w:rsidRPr="00F169C6" w:rsidRDefault="00A3619F" w:rsidP="00F169C6">
      <w:pPr>
        <w:rPr>
          <w:rFonts w:asciiTheme="minorEastAsia" w:hAnsiTheme="minorEastAsia"/>
          <w:b/>
          <w:bCs/>
          <w:szCs w:val="21"/>
        </w:rPr>
      </w:pPr>
      <w:r w:rsidRPr="00F169C6">
        <w:rPr>
          <w:rFonts w:asciiTheme="minorEastAsia" w:hAnsiTheme="minorEastAsia" w:hint="eastAsia"/>
          <w:b/>
          <w:bCs/>
          <w:szCs w:val="21"/>
        </w:rPr>
        <w:t>第７条</w:t>
      </w:r>
      <w:r w:rsidR="0001709D">
        <w:rPr>
          <w:rFonts w:asciiTheme="minorEastAsia" w:hAnsiTheme="minorEastAsia" w:hint="eastAsia"/>
          <w:b/>
          <w:bCs/>
          <w:szCs w:val="21"/>
        </w:rPr>
        <w:t xml:space="preserve">　</w:t>
      </w:r>
      <w:r w:rsidRPr="00F169C6">
        <w:rPr>
          <w:rFonts w:asciiTheme="minorEastAsia" w:hAnsiTheme="minorEastAsia" w:hint="eastAsia"/>
          <w:b/>
          <w:bCs/>
          <w:szCs w:val="21"/>
        </w:rPr>
        <w:t>守秘義務</w:t>
      </w:r>
    </w:p>
    <w:p w14:paraId="061D191E" w14:textId="2388A74F" w:rsidR="00A3619F" w:rsidRDefault="003B6045" w:rsidP="003B6045">
      <w:pPr>
        <w:ind w:firstLineChars="100" w:firstLine="210"/>
        <w:rPr>
          <w:rFonts w:asciiTheme="minorEastAsia" w:hAnsiTheme="minorEastAsia"/>
          <w:szCs w:val="21"/>
        </w:rPr>
      </w:pPr>
      <w:r>
        <w:rPr>
          <w:rFonts w:asciiTheme="minorEastAsia" w:hAnsiTheme="minorEastAsia" w:hint="eastAsia"/>
          <w:szCs w:val="21"/>
        </w:rPr>
        <w:t>両</w:t>
      </w:r>
      <w:r w:rsidR="00A3619F">
        <w:rPr>
          <w:rFonts w:asciiTheme="minorEastAsia" w:hAnsiTheme="minorEastAsia" w:hint="eastAsia"/>
          <w:szCs w:val="21"/>
        </w:rPr>
        <w:t>当事者は、本覚書や本覚書に準拠して取り交わされた合意内容の実施期間中に他方の当事者から受理した、もしくは他方の当事者へ提供した全ての書類、情報、その他のデータの機密性・秘密性の管理を実施する。両当事者は、第７条が定める項目は、本覚書の終了後においても拘束力を維持することに合意する。</w:t>
      </w:r>
    </w:p>
    <w:p w14:paraId="0A015E38" w14:textId="77777777" w:rsidR="00A3619F" w:rsidRDefault="00A3619F" w:rsidP="0026431A">
      <w:pPr>
        <w:rPr>
          <w:rFonts w:asciiTheme="minorEastAsia" w:hAnsiTheme="minorEastAsia"/>
          <w:szCs w:val="21"/>
        </w:rPr>
      </w:pPr>
    </w:p>
    <w:p w14:paraId="061E3484" w14:textId="77777777" w:rsidR="00EA795C" w:rsidRDefault="00EA795C" w:rsidP="00F169C6">
      <w:pPr>
        <w:rPr>
          <w:rFonts w:asciiTheme="minorEastAsia" w:hAnsiTheme="minorEastAsia"/>
          <w:szCs w:val="21"/>
        </w:rPr>
      </w:pPr>
    </w:p>
    <w:p w14:paraId="556CA8BC" w14:textId="7D9C2826" w:rsidR="00A3619F" w:rsidRPr="00F169C6" w:rsidRDefault="00A3619F" w:rsidP="00F169C6">
      <w:pPr>
        <w:rPr>
          <w:rFonts w:asciiTheme="minorEastAsia" w:hAnsiTheme="minorEastAsia"/>
          <w:b/>
          <w:bCs/>
          <w:szCs w:val="21"/>
        </w:rPr>
      </w:pPr>
      <w:r w:rsidRPr="00F169C6">
        <w:rPr>
          <w:rFonts w:asciiTheme="minorEastAsia" w:hAnsiTheme="minorEastAsia" w:hint="eastAsia"/>
          <w:b/>
          <w:bCs/>
          <w:szCs w:val="21"/>
        </w:rPr>
        <w:lastRenderedPageBreak/>
        <w:t>第８条</w:t>
      </w:r>
      <w:r w:rsidR="0001709D">
        <w:rPr>
          <w:rFonts w:asciiTheme="minorEastAsia" w:hAnsiTheme="minorEastAsia" w:hint="eastAsia"/>
          <w:b/>
          <w:bCs/>
          <w:szCs w:val="21"/>
        </w:rPr>
        <w:t xml:space="preserve">　</w:t>
      </w:r>
      <w:r w:rsidRPr="00F169C6">
        <w:rPr>
          <w:rFonts w:asciiTheme="minorEastAsia" w:hAnsiTheme="minorEastAsia" w:hint="eastAsia"/>
          <w:b/>
          <w:bCs/>
          <w:szCs w:val="21"/>
        </w:rPr>
        <w:t>一時停止</w:t>
      </w:r>
    </w:p>
    <w:p w14:paraId="55D1853A" w14:textId="78A66DA0" w:rsidR="00341B73" w:rsidRDefault="003B6045" w:rsidP="003B6045">
      <w:pPr>
        <w:ind w:firstLineChars="100" w:firstLine="210"/>
        <w:rPr>
          <w:rFonts w:asciiTheme="minorEastAsia" w:hAnsiTheme="minorEastAsia"/>
          <w:szCs w:val="21"/>
        </w:rPr>
      </w:pPr>
      <w:r>
        <w:rPr>
          <w:rFonts w:asciiTheme="minorEastAsia" w:hAnsiTheme="minorEastAsia" w:hint="eastAsia"/>
          <w:szCs w:val="21"/>
        </w:rPr>
        <w:t>各</w:t>
      </w:r>
      <w:r w:rsidR="00A3619F">
        <w:rPr>
          <w:rFonts w:asciiTheme="minorEastAsia" w:hAnsiTheme="minorEastAsia" w:hint="eastAsia"/>
          <w:szCs w:val="21"/>
        </w:rPr>
        <w:t>当事者は、国家安全保障、国益、公序、公衆衛生といった理由により、本覚書の全項目、もしくは部分項目の実施を一時停止する権利を保有する。この一時停止は、他方の当事者</w:t>
      </w:r>
      <w:r w:rsidR="00797C2F">
        <w:rPr>
          <w:rFonts w:asciiTheme="minorEastAsia" w:hAnsiTheme="minorEastAsia" w:hint="eastAsia"/>
          <w:szCs w:val="21"/>
        </w:rPr>
        <w:t>へ通知後、</w:t>
      </w:r>
      <w:r>
        <w:rPr>
          <w:rFonts w:asciiTheme="minorEastAsia" w:hAnsiTheme="minorEastAsia" w:hint="eastAsia"/>
          <w:szCs w:val="21"/>
        </w:rPr>
        <w:t>即時に</w:t>
      </w:r>
      <w:r w:rsidR="00797C2F">
        <w:rPr>
          <w:rFonts w:asciiTheme="minorEastAsia" w:hAnsiTheme="minorEastAsia" w:hint="eastAsia"/>
          <w:szCs w:val="21"/>
        </w:rPr>
        <w:t>効力を発揮する。</w:t>
      </w:r>
    </w:p>
    <w:p w14:paraId="534B4981" w14:textId="77777777" w:rsidR="00797C2F" w:rsidRDefault="00797C2F" w:rsidP="00F169C6">
      <w:pPr>
        <w:rPr>
          <w:rFonts w:asciiTheme="minorEastAsia" w:hAnsiTheme="minorEastAsia"/>
          <w:szCs w:val="21"/>
        </w:rPr>
      </w:pPr>
    </w:p>
    <w:p w14:paraId="31D86D98" w14:textId="5FAC3BFD" w:rsidR="00797C2F" w:rsidRPr="00F169C6" w:rsidRDefault="00797C2F" w:rsidP="00F169C6">
      <w:pPr>
        <w:rPr>
          <w:rFonts w:asciiTheme="minorEastAsia" w:hAnsiTheme="minorEastAsia"/>
          <w:b/>
          <w:bCs/>
          <w:szCs w:val="21"/>
        </w:rPr>
      </w:pPr>
      <w:r w:rsidRPr="00F169C6">
        <w:rPr>
          <w:rFonts w:asciiTheme="minorEastAsia" w:hAnsiTheme="minorEastAsia" w:hint="eastAsia"/>
          <w:b/>
          <w:bCs/>
          <w:szCs w:val="21"/>
        </w:rPr>
        <w:t>第９条</w:t>
      </w:r>
      <w:r w:rsidR="0001709D">
        <w:rPr>
          <w:rFonts w:asciiTheme="minorEastAsia" w:hAnsiTheme="minorEastAsia" w:hint="eastAsia"/>
          <w:b/>
          <w:bCs/>
          <w:szCs w:val="21"/>
        </w:rPr>
        <w:t xml:space="preserve">　</w:t>
      </w:r>
      <w:r w:rsidRPr="00F169C6">
        <w:rPr>
          <w:rFonts w:asciiTheme="minorEastAsia" w:hAnsiTheme="minorEastAsia" w:hint="eastAsia"/>
          <w:b/>
          <w:bCs/>
          <w:szCs w:val="21"/>
        </w:rPr>
        <w:t>発効、期間及び終了</w:t>
      </w:r>
    </w:p>
    <w:p w14:paraId="7A326A30" w14:textId="7201C60C" w:rsidR="00797C2F" w:rsidRDefault="003B6045" w:rsidP="00F169C6">
      <w:pPr>
        <w:ind w:leftChars="100" w:left="210"/>
        <w:rPr>
          <w:rFonts w:asciiTheme="minorEastAsia" w:hAnsiTheme="minorEastAsia"/>
          <w:szCs w:val="21"/>
        </w:rPr>
      </w:pPr>
      <w:r>
        <w:rPr>
          <w:rFonts w:asciiTheme="minorEastAsia" w:hAnsiTheme="minorEastAsia" w:hint="eastAsia"/>
          <w:szCs w:val="21"/>
        </w:rPr>
        <w:t>１．</w:t>
      </w:r>
      <w:r w:rsidR="00797C2F">
        <w:rPr>
          <w:rFonts w:asciiTheme="minorEastAsia" w:hAnsiTheme="minorEastAsia" w:hint="eastAsia"/>
          <w:szCs w:val="21"/>
        </w:rPr>
        <w:t>本覚書は、署名日</w:t>
      </w:r>
      <w:r>
        <w:rPr>
          <w:rFonts w:asciiTheme="minorEastAsia" w:hAnsiTheme="minorEastAsia" w:hint="eastAsia"/>
          <w:szCs w:val="21"/>
        </w:rPr>
        <w:t>から</w:t>
      </w:r>
      <w:r w:rsidR="00797C2F">
        <w:rPr>
          <w:rFonts w:asciiTheme="minorEastAsia" w:hAnsiTheme="minorEastAsia" w:hint="eastAsia"/>
          <w:szCs w:val="21"/>
        </w:rPr>
        <w:t>効力を発揮し、本条項に</w:t>
      </w:r>
      <w:r>
        <w:rPr>
          <w:rFonts w:asciiTheme="minorEastAsia" w:hAnsiTheme="minorEastAsia" w:hint="eastAsia"/>
          <w:szCs w:val="21"/>
        </w:rPr>
        <w:t>従って</w:t>
      </w:r>
      <w:r w:rsidR="00797C2F">
        <w:rPr>
          <w:rFonts w:asciiTheme="minorEastAsia" w:hAnsiTheme="minorEastAsia" w:hint="eastAsia"/>
          <w:szCs w:val="21"/>
        </w:rPr>
        <w:t>終了</w:t>
      </w:r>
      <w:r>
        <w:rPr>
          <w:rFonts w:asciiTheme="minorEastAsia" w:hAnsiTheme="minorEastAsia" w:hint="eastAsia"/>
          <w:szCs w:val="21"/>
        </w:rPr>
        <w:t>す</w:t>
      </w:r>
      <w:r w:rsidR="00797C2F">
        <w:rPr>
          <w:rFonts w:asciiTheme="minorEastAsia" w:hAnsiTheme="minorEastAsia" w:hint="eastAsia"/>
          <w:szCs w:val="21"/>
        </w:rPr>
        <w:t>るまで、その効力を維持する。</w:t>
      </w:r>
    </w:p>
    <w:p w14:paraId="40D301DF" w14:textId="2A6645CA" w:rsidR="00797C2F" w:rsidRDefault="003B6045" w:rsidP="00F169C6">
      <w:pPr>
        <w:ind w:leftChars="100" w:left="210"/>
        <w:rPr>
          <w:rFonts w:asciiTheme="minorEastAsia" w:hAnsiTheme="minorEastAsia"/>
          <w:szCs w:val="21"/>
        </w:rPr>
      </w:pPr>
      <w:r>
        <w:rPr>
          <w:rFonts w:asciiTheme="minorEastAsia" w:hAnsiTheme="minorEastAsia" w:hint="eastAsia"/>
          <w:szCs w:val="21"/>
        </w:rPr>
        <w:t>２．</w:t>
      </w:r>
      <w:r w:rsidR="00797C2F">
        <w:rPr>
          <w:rFonts w:asciiTheme="minorEastAsia" w:hAnsiTheme="minorEastAsia"/>
          <w:szCs w:val="21"/>
        </w:rPr>
        <w:t>いずれの当事者も、他方の当事者へ３ヶ月前までに書面で通知することで、本覚書を終了することができる。</w:t>
      </w:r>
    </w:p>
    <w:p w14:paraId="42CB18E8" w14:textId="22669C9F" w:rsidR="00797C2F" w:rsidRDefault="003B6045" w:rsidP="00F169C6">
      <w:pPr>
        <w:ind w:leftChars="100" w:left="210"/>
        <w:rPr>
          <w:rFonts w:asciiTheme="minorEastAsia" w:hAnsiTheme="minorEastAsia"/>
          <w:szCs w:val="21"/>
        </w:rPr>
      </w:pPr>
      <w:r>
        <w:rPr>
          <w:rFonts w:asciiTheme="minorEastAsia" w:hAnsiTheme="minorEastAsia" w:hint="eastAsia"/>
          <w:szCs w:val="21"/>
        </w:rPr>
        <w:t>３．</w:t>
      </w:r>
      <w:r w:rsidR="00797C2F">
        <w:rPr>
          <w:rFonts w:asciiTheme="minorEastAsia" w:hAnsiTheme="minorEastAsia"/>
          <w:szCs w:val="21"/>
        </w:rPr>
        <w:t>本覚書を終了することは、本覚書終了日前に合意</w:t>
      </w:r>
      <w:r>
        <w:rPr>
          <w:rFonts w:asciiTheme="minorEastAsia" w:hAnsiTheme="minorEastAsia" w:hint="eastAsia"/>
          <w:szCs w:val="21"/>
        </w:rPr>
        <w:t>され</w:t>
      </w:r>
      <w:r w:rsidR="00797C2F">
        <w:rPr>
          <w:rFonts w:asciiTheme="minorEastAsia" w:hAnsiTheme="minorEastAsia"/>
          <w:szCs w:val="21"/>
        </w:rPr>
        <w:t>た継続中の活動とプログラムの履行に影響は及ぼさない。</w:t>
      </w:r>
    </w:p>
    <w:p w14:paraId="70ECCFB5" w14:textId="77777777" w:rsidR="00797C2F" w:rsidRPr="003B6045" w:rsidRDefault="00797C2F" w:rsidP="00F169C6">
      <w:pPr>
        <w:rPr>
          <w:rFonts w:asciiTheme="minorEastAsia" w:hAnsiTheme="minorEastAsia"/>
          <w:szCs w:val="21"/>
        </w:rPr>
      </w:pPr>
    </w:p>
    <w:p w14:paraId="5A2C54B0" w14:textId="1CB8CF9A" w:rsidR="00797C2F" w:rsidRPr="00F169C6" w:rsidRDefault="00797C2F" w:rsidP="00F169C6">
      <w:pPr>
        <w:rPr>
          <w:rFonts w:asciiTheme="minorEastAsia" w:hAnsiTheme="minorEastAsia"/>
          <w:b/>
          <w:bCs/>
          <w:szCs w:val="21"/>
        </w:rPr>
      </w:pPr>
      <w:r w:rsidRPr="00F169C6">
        <w:rPr>
          <w:rFonts w:asciiTheme="minorEastAsia" w:hAnsiTheme="minorEastAsia"/>
          <w:b/>
          <w:bCs/>
          <w:szCs w:val="21"/>
        </w:rPr>
        <w:t>第</w:t>
      </w:r>
      <w:r w:rsidR="0001709D">
        <w:rPr>
          <w:rFonts w:asciiTheme="minorEastAsia" w:hAnsiTheme="minorEastAsia" w:hint="eastAsia"/>
          <w:b/>
          <w:bCs/>
          <w:szCs w:val="21"/>
        </w:rPr>
        <w:t>10</w:t>
      </w:r>
      <w:r w:rsidRPr="00F169C6">
        <w:rPr>
          <w:rFonts w:asciiTheme="minorEastAsia" w:hAnsiTheme="minorEastAsia"/>
          <w:b/>
          <w:bCs/>
          <w:szCs w:val="21"/>
        </w:rPr>
        <w:t>条</w:t>
      </w:r>
      <w:r w:rsidR="0001709D">
        <w:rPr>
          <w:rFonts w:asciiTheme="minorEastAsia" w:hAnsiTheme="minorEastAsia" w:hint="eastAsia"/>
          <w:b/>
          <w:bCs/>
          <w:szCs w:val="21"/>
        </w:rPr>
        <w:t xml:space="preserve">　</w:t>
      </w:r>
      <w:r w:rsidRPr="00F169C6">
        <w:rPr>
          <w:rFonts w:asciiTheme="minorEastAsia" w:hAnsiTheme="minorEastAsia"/>
          <w:b/>
          <w:bCs/>
          <w:szCs w:val="21"/>
        </w:rPr>
        <w:t>修正、</w:t>
      </w:r>
      <w:r w:rsidRPr="00F169C6">
        <w:rPr>
          <w:rFonts w:asciiTheme="minorEastAsia" w:hAnsiTheme="minorEastAsia" w:hint="eastAsia"/>
          <w:b/>
          <w:bCs/>
          <w:szCs w:val="21"/>
        </w:rPr>
        <w:t>変</w:t>
      </w:r>
      <w:r w:rsidRPr="00F169C6">
        <w:rPr>
          <w:rFonts w:asciiTheme="minorEastAsia" w:hAnsiTheme="minorEastAsia"/>
          <w:b/>
          <w:bCs/>
          <w:szCs w:val="21"/>
        </w:rPr>
        <w:t>更及び改定</w:t>
      </w:r>
    </w:p>
    <w:p w14:paraId="5A671EC6" w14:textId="3019CB2E" w:rsidR="00797C2F" w:rsidRDefault="00797C2F" w:rsidP="003B6045">
      <w:pPr>
        <w:ind w:firstLineChars="100" w:firstLine="210"/>
        <w:rPr>
          <w:rFonts w:asciiTheme="minorEastAsia" w:hAnsiTheme="minorEastAsia"/>
          <w:szCs w:val="21"/>
        </w:rPr>
      </w:pPr>
      <w:r>
        <w:rPr>
          <w:rFonts w:asciiTheme="minorEastAsia" w:hAnsiTheme="minorEastAsia" w:hint="eastAsia"/>
          <w:szCs w:val="21"/>
        </w:rPr>
        <w:t>両当事者は、双方の書面上での合意により、本覚書の全て、もしくは一部を修正、変更、もしくは改定することができる。このような修正、変更</w:t>
      </w:r>
      <w:r w:rsidR="003B6045">
        <w:rPr>
          <w:rFonts w:asciiTheme="minorEastAsia" w:hAnsiTheme="minorEastAsia" w:hint="eastAsia"/>
          <w:szCs w:val="21"/>
        </w:rPr>
        <w:t>及び</w:t>
      </w:r>
      <w:r w:rsidR="00D1463A">
        <w:rPr>
          <w:rFonts w:asciiTheme="minorEastAsia" w:hAnsiTheme="minorEastAsia" w:hint="eastAsia"/>
          <w:szCs w:val="21"/>
        </w:rPr>
        <w:t>改定は、文章にまとめ、本覚書の一部を構成することとし、両当事者が決定した日より効力を発揮することとする。いずれの修正、変更</w:t>
      </w:r>
      <w:r w:rsidR="003B6045">
        <w:rPr>
          <w:rFonts w:asciiTheme="minorEastAsia" w:hAnsiTheme="minorEastAsia" w:hint="eastAsia"/>
          <w:szCs w:val="21"/>
        </w:rPr>
        <w:t>及び</w:t>
      </w:r>
      <w:r w:rsidR="00D1463A">
        <w:rPr>
          <w:rFonts w:asciiTheme="minorEastAsia" w:hAnsiTheme="minorEastAsia" w:hint="eastAsia"/>
          <w:szCs w:val="21"/>
        </w:rPr>
        <w:t>改定も、修正、変更</w:t>
      </w:r>
      <w:r w:rsidR="003B6045">
        <w:rPr>
          <w:rFonts w:asciiTheme="minorEastAsia" w:hAnsiTheme="minorEastAsia" w:hint="eastAsia"/>
          <w:szCs w:val="21"/>
        </w:rPr>
        <w:t>及び</w:t>
      </w:r>
      <w:r w:rsidR="00D1463A">
        <w:rPr>
          <w:rFonts w:asciiTheme="minorEastAsia" w:hAnsiTheme="minorEastAsia" w:hint="eastAsia"/>
          <w:szCs w:val="21"/>
        </w:rPr>
        <w:t>改定の実施日前に本覚書に基づいて生じる権利や義務を侵害することなく、行われることとする。</w:t>
      </w:r>
    </w:p>
    <w:p w14:paraId="2405697C" w14:textId="77777777" w:rsidR="00D1463A" w:rsidRDefault="00D1463A" w:rsidP="00F169C6">
      <w:pPr>
        <w:rPr>
          <w:rFonts w:asciiTheme="minorEastAsia" w:hAnsiTheme="minorEastAsia"/>
          <w:szCs w:val="21"/>
        </w:rPr>
      </w:pPr>
    </w:p>
    <w:p w14:paraId="10FF6B79" w14:textId="27AF4B09" w:rsidR="00D1463A" w:rsidRPr="00F169C6" w:rsidRDefault="00D1463A" w:rsidP="00F169C6">
      <w:pPr>
        <w:rPr>
          <w:rFonts w:asciiTheme="minorEastAsia" w:hAnsiTheme="minorEastAsia"/>
          <w:b/>
          <w:bCs/>
          <w:szCs w:val="21"/>
        </w:rPr>
      </w:pPr>
      <w:r w:rsidRPr="00F169C6">
        <w:rPr>
          <w:rFonts w:asciiTheme="minorEastAsia" w:hAnsiTheme="minorEastAsia" w:hint="eastAsia"/>
          <w:b/>
          <w:bCs/>
          <w:szCs w:val="21"/>
        </w:rPr>
        <w:t>第</w:t>
      </w:r>
      <w:r w:rsidR="0001709D">
        <w:rPr>
          <w:rFonts w:asciiTheme="minorEastAsia" w:hAnsiTheme="minorEastAsia" w:hint="eastAsia"/>
          <w:b/>
          <w:bCs/>
          <w:szCs w:val="21"/>
        </w:rPr>
        <w:t>11</w:t>
      </w:r>
      <w:r w:rsidRPr="00F169C6">
        <w:rPr>
          <w:rFonts w:asciiTheme="minorEastAsia" w:hAnsiTheme="minorEastAsia" w:hint="eastAsia"/>
          <w:b/>
          <w:bCs/>
          <w:szCs w:val="21"/>
        </w:rPr>
        <w:t>条</w:t>
      </w:r>
      <w:r w:rsidR="0001709D">
        <w:rPr>
          <w:rFonts w:asciiTheme="minorEastAsia" w:hAnsiTheme="minorEastAsia" w:hint="eastAsia"/>
          <w:b/>
          <w:bCs/>
          <w:szCs w:val="21"/>
        </w:rPr>
        <w:t xml:space="preserve">　</w:t>
      </w:r>
      <w:r w:rsidRPr="00F169C6">
        <w:rPr>
          <w:rFonts w:asciiTheme="minorEastAsia" w:hAnsiTheme="minorEastAsia" w:hint="eastAsia"/>
          <w:b/>
          <w:bCs/>
          <w:szCs w:val="21"/>
        </w:rPr>
        <w:t>紛争解決</w:t>
      </w:r>
    </w:p>
    <w:p w14:paraId="0EA497B4" w14:textId="329A3095" w:rsidR="00D1463A" w:rsidRDefault="00CE3E7E" w:rsidP="00CE3E7E">
      <w:pPr>
        <w:ind w:firstLineChars="100" w:firstLine="210"/>
        <w:rPr>
          <w:rFonts w:asciiTheme="minorEastAsia" w:hAnsiTheme="minorEastAsia"/>
          <w:szCs w:val="21"/>
        </w:rPr>
      </w:pPr>
      <w:r>
        <w:rPr>
          <w:rFonts w:asciiTheme="minorEastAsia" w:hAnsiTheme="minorEastAsia" w:hint="eastAsia"/>
          <w:szCs w:val="21"/>
        </w:rPr>
        <w:t>本</w:t>
      </w:r>
      <w:r w:rsidR="00D1463A">
        <w:rPr>
          <w:rFonts w:asciiTheme="minorEastAsia" w:hAnsiTheme="minorEastAsia" w:hint="eastAsia"/>
          <w:szCs w:val="21"/>
        </w:rPr>
        <w:t>覚書の解釈、また、本覚書の規定の履行もしくは導入において生じた</w:t>
      </w:r>
      <w:r w:rsidR="0080045F">
        <w:rPr>
          <w:rFonts w:asciiTheme="minorEastAsia" w:hAnsiTheme="minorEastAsia" w:hint="eastAsia"/>
          <w:szCs w:val="21"/>
        </w:rPr>
        <w:t>疑義</w:t>
      </w:r>
      <w:r w:rsidR="00D1463A">
        <w:rPr>
          <w:rFonts w:asciiTheme="minorEastAsia" w:hAnsiTheme="minorEastAsia" w:hint="eastAsia"/>
          <w:szCs w:val="21"/>
        </w:rPr>
        <w:t>や紛争は、第三者や国際裁判所に言及することなく、両当事者間の友好的な協議と交渉により解決する。本覚書による提携事項は、義務や制限、法的拘束力を持たないこととするが、</w:t>
      </w:r>
      <w:r w:rsidR="00711D85">
        <w:rPr>
          <w:rFonts w:asciiTheme="minorEastAsia" w:hAnsiTheme="minorEastAsia" w:hint="eastAsia"/>
          <w:szCs w:val="21"/>
        </w:rPr>
        <w:t>両当事者</w:t>
      </w:r>
      <w:r w:rsidR="00D1463A">
        <w:rPr>
          <w:rFonts w:asciiTheme="minorEastAsia" w:hAnsiTheme="minorEastAsia" w:hint="eastAsia"/>
          <w:szCs w:val="21"/>
        </w:rPr>
        <w:t>は、</w:t>
      </w:r>
      <w:r w:rsidR="00711D85">
        <w:rPr>
          <w:rFonts w:asciiTheme="minorEastAsia" w:hAnsiTheme="minorEastAsia" w:hint="eastAsia"/>
          <w:szCs w:val="21"/>
        </w:rPr>
        <w:t>信義</w:t>
      </w:r>
      <w:r w:rsidR="00D1463A">
        <w:rPr>
          <w:rFonts w:asciiTheme="minorEastAsia" w:hAnsiTheme="minorEastAsia" w:hint="eastAsia"/>
          <w:szCs w:val="21"/>
        </w:rPr>
        <w:t>に従い誠実に取り組まなければならない。</w:t>
      </w:r>
    </w:p>
    <w:p w14:paraId="4FAAF15C" w14:textId="77777777" w:rsidR="00D1463A" w:rsidRDefault="00D1463A" w:rsidP="00F169C6">
      <w:pPr>
        <w:rPr>
          <w:rFonts w:asciiTheme="minorEastAsia" w:hAnsiTheme="minorEastAsia"/>
          <w:szCs w:val="21"/>
        </w:rPr>
      </w:pPr>
    </w:p>
    <w:p w14:paraId="589E37C4" w14:textId="30322F17" w:rsidR="00D1463A" w:rsidRPr="00F169C6" w:rsidRDefault="00D1463A" w:rsidP="00F169C6">
      <w:pPr>
        <w:rPr>
          <w:rFonts w:asciiTheme="minorEastAsia" w:hAnsiTheme="minorEastAsia"/>
          <w:b/>
          <w:bCs/>
          <w:szCs w:val="21"/>
        </w:rPr>
      </w:pPr>
      <w:r w:rsidRPr="00F169C6">
        <w:rPr>
          <w:rFonts w:asciiTheme="minorEastAsia" w:hAnsiTheme="minorEastAsia" w:hint="eastAsia"/>
          <w:b/>
          <w:bCs/>
          <w:szCs w:val="21"/>
        </w:rPr>
        <w:t>第</w:t>
      </w:r>
      <w:r w:rsidR="0001709D">
        <w:rPr>
          <w:rFonts w:asciiTheme="minorEastAsia" w:hAnsiTheme="minorEastAsia" w:hint="eastAsia"/>
          <w:b/>
          <w:bCs/>
          <w:szCs w:val="21"/>
        </w:rPr>
        <w:t>12</w:t>
      </w:r>
      <w:r w:rsidRPr="00F169C6">
        <w:rPr>
          <w:rFonts w:asciiTheme="minorEastAsia" w:hAnsiTheme="minorEastAsia" w:hint="eastAsia"/>
          <w:b/>
          <w:bCs/>
          <w:szCs w:val="21"/>
        </w:rPr>
        <w:t>条</w:t>
      </w:r>
      <w:r w:rsidR="0001709D">
        <w:rPr>
          <w:rFonts w:asciiTheme="minorEastAsia" w:hAnsiTheme="minorEastAsia" w:hint="eastAsia"/>
          <w:b/>
          <w:bCs/>
          <w:szCs w:val="21"/>
        </w:rPr>
        <w:t xml:space="preserve">　</w:t>
      </w:r>
      <w:r w:rsidRPr="00F169C6">
        <w:rPr>
          <w:rFonts w:asciiTheme="minorEastAsia" w:hAnsiTheme="minorEastAsia" w:hint="eastAsia"/>
          <w:b/>
          <w:bCs/>
          <w:szCs w:val="21"/>
        </w:rPr>
        <w:t>連絡窓口の設置</w:t>
      </w:r>
    </w:p>
    <w:p w14:paraId="7BD4A112" w14:textId="104558E7" w:rsidR="00D1463A" w:rsidRDefault="00D1463A" w:rsidP="00711D85">
      <w:pPr>
        <w:ind w:firstLineChars="100" w:firstLine="210"/>
        <w:rPr>
          <w:rFonts w:asciiTheme="minorEastAsia" w:hAnsiTheme="minorEastAsia"/>
          <w:szCs w:val="21"/>
        </w:rPr>
      </w:pPr>
      <w:r>
        <w:rPr>
          <w:rFonts w:asciiTheme="minorEastAsia" w:hAnsiTheme="minorEastAsia" w:hint="eastAsia"/>
          <w:szCs w:val="21"/>
        </w:rPr>
        <w:t>両</w:t>
      </w:r>
      <w:r w:rsidR="00711D85">
        <w:rPr>
          <w:rFonts w:asciiTheme="minorEastAsia" w:hAnsiTheme="minorEastAsia" w:hint="eastAsia"/>
          <w:szCs w:val="21"/>
        </w:rPr>
        <w:t>当事者</w:t>
      </w:r>
      <w:r>
        <w:rPr>
          <w:rFonts w:asciiTheme="minorEastAsia" w:hAnsiTheme="minorEastAsia" w:hint="eastAsia"/>
          <w:szCs w:val="21"/>
        </w:rPr>
        <w:t>は、定められた提携事項を着実に遂行するため、本覚書の締結後速やかに、連絡窓口となる担当者を指定し、担当者の連絡先を書面で相手方に通知する。また、当該内容に変更が生じた場合には、遅滞なく通知するものとする。</w:t>
      </w:r>
    </w:p>
    <w:p w14:paraId="157DAC63" w14:textId="77777777" w:rsidR="00D1463A" w:rsidRDefault="00D1463A" w:rsidP="00F169C6">
      <w:pPr>
        <w:rPr>
          <w:rFonts w:asciiTheme="minorEastAsia" w:hAnsiTheme="minorEastAsia"/>
          <w:szCs w:val="21"/>
        </w:rPr>
      </w:pPr>
    </w:p>
    <w:p w14:paraId="07A93FE1" w14:textId="08394D23" w:rsidR="00D1463A" w:rsidRDefault="00D1463A" w:rsidP="00711D85">
      <w:pPr>
        <w:ind w:firstLineChars="100" w:firstLine="210"/>
        <w:rPr>
          <w:rFonts w:asciiTheme="minorEastAsia" w:hAnsiTheme="minorEastAsia"/>
          <w:szCs w:val="21"/>
        </w:rPr>
      </w:pPr>
      <w:r>
        <w:rPr>
          <w:rFonts w:asciiTheme="minorEastAsia" w:hAnsiTheme="minorEastAsia" w:hint="eastAsia"/>
          <w:szCs w:val="21"/>
        </w:rPr>
        <w:t>上記の合意を証するため、下記に署名した者は、各自の機関から正式に委任を受けて、本合意書に署名した。</w:t>
      </w:r>
    </w:p>
    <w:p w14:paraId="74874035" w14:textId="77777777" w:rsidR="009645B7" w:rsidRPr="009645B7" w:rsidRDefault="009645B7" w:rsidP="0026431A">
      <w:pPr>
        <w:rPr>
          <w:rFonts w:asciiTheme="minorEastAsia" w:hAnsiTheme="minorEastAsia"/>
          <w:szCs w:val="21"/>
        </w:rPr>
      </w:pPr>
    </w:p>
    <w:tbl>
      <w:tblPr>
        <w:tblStyle w:val="a7"/>
        <w:tblW w:w="0" w:type="auto"/>
        <w:tblInd w:w="279" w:type="dxa"/>
        <w:tblLook w:val="04A0" w:firstRow="1" w:lastRow="0" w:firstColumn="1" w:lastColumn="0" w:noHBand="0" w:noVBand="1"/>
      </w:tblPr>
      <w:tblGrid>
        <w:gridCol w:w="3832"/>
        <w:gridCol w:w="4949"/>
      </w:tblGrid>
      <w:tr w:rsidR="00C878B3" w:rsidRPr="009645B7" w14:paraId="5EF8AA23" w14:textId="77777777" w:rsidTr="009645B7">
        <w:tc>
          <w:tcPr>
            <w:tcW w:w="3832" w:type="dxa"/>
            <w:tcBorders>
              <w:top w:val="nil"/>
              <w:left w:val="nil"/>
              <w:bottom w:val="nil"/>
              <w:right w:val="nil"/>
            </w:tcBorders>
          </w:tcPr>
          <w:p w14:paraId="73200059" w14:textId="35FFEFFA" w:rsidR="00C878B3" w:rsidRPr="009645B7" w:rsidRDefault="00C878B3" w:rsidP="00C878B3">
            <w:pPr>
              <w:rPr>
                <w:rFonts w:asciiTheme="minorEastAsia" w:hAnsiTheme="minorEastAsia"/>
                <w:sz w:val="21"/>
                <w:szCs w:val="21"/>
              </w:rPr>
            </w:pPr>
            <w:r w:rsidRPr="009645B7">
              <w:rPr>
                <w:rFonts w:asciiTheme="minorEastAsia" w:hAnsiTheme="minorEastAsia" w:hint="eastAsia"/>
                <w:sz w:val="21"/>
                <w:szCs w:val="21"/>
                <w:lang w:eastAsia="ja-JP"/>
              </w:rPr>
              <w:t>大阪港湾局</w:t>
            </w:r>
          </w:p>
        </w:tc>
        <w:tc>
          <w:tcPr>
            <w:tcW w:w="4949" w:type="dxa"/>
            <w:tcBorders>
              <w:top w:val="nil"/>
              <w:left w:val="nil"/>
              <w:bottom w:val="nil"/>
              <w:right w:val="nil"/>
            </w:tcBorders>
          </w:tcPr>
          <w:p w14:paraId="2DBA4BBF" w14:textId="76DB7EB5" w:rsidR="00C878B3" w:rsidRPr="00D1463A" w:rsidRDefault="00D1463A" w:rsidP="00C878B3">
            <w:pPr>
              <w:rPr>
                <w:rFonts w:asciiTheme="minorEastAsia" w:eastAsia="PMingLiU" w:hAnsiTheme="minorEastAsia"/>
                <w:sz w:val="21"/>
                <w:szCs w:val="21"/>
              </w:rPr>
            </w:pPr>
            <w:r>
              <w:rPr>
                <w:rFonts w:asciiTheme="minorEastAsia" w:hAnsiTheme="minorEastAsia" w:hint="eastAsia"/>
                <w:sz w:val="21"/>
                <w:szCs w:val="21"/>
                <w:lang w:eastAsia="ja-JP"/>
              </w:rPr>
              <w:t>ポートケランオーソリティ</w:t>
            </w:r>
          </w:p>
        </w:tc>
      </w:tr>
      <w:tr w:rsidR="00C878B3" w:rsidRPr="009645B7" w14:paraId="24B93E9D" w14:textId="77777777" w:rsidTr="009645B7">
        <w:tc>
          <w:tcPr>
            <w:tcW w:w="3832" w:type="dxa"/>
            <w:tcBorders>
              <w:top w:val="nil"/>
              <w:left w:val="nil"/>
              <w:bottom w:val="nil"/>
              <w:right w:val="nil"/>
            </w:tcBorders>
          </w:tcPr>
          <w:p w14:paraId="04A3F30F" w14:textId="41796560" w:rsidR="00C878B3" w:rsidRPr="009645B7" w:rsidRDefault="00C878B3" w:rsidP="00C878B3">
            <w:pPr>
              <w:rPr>
                <w:rFonts w:asciiTheme="minorEastAsia" w:hAnsiTheme="minorEastAsia"/>
                <w:sz w:val="21"/>
                <w:szCs w:val="21"/>
              </w:rPr>
            </w:pPr>
            <w:r w:rsidRPr="009645B7">
              <w:rPr>
                <w:rFonts w:asciiTheme="minorEastAsia" w:hAnsiTheme="minorEastAsia" w:hint="eastAsia"/>
                <w:sz w:val="21"/>
                <w:szCs w:val="21"/>
                <w:lang w:eastAsia="ja-JP"/>
              </w:rPr>
              <w:t xml:space="preserve">局長　</w:t>
            </w:r>
            <w:r w:rsidR="00D1463A">
              <w:rPr>
                <w:rFonts w:asciiTheme="minorEastAsia" w:hAnsiTheme="minorEastAsia" w:hint="eastAsia"/>
                <w:sz w:val="21"/>
                <w:szCs w:val="21"/>
                <w:lang w:eastAsia="ja-JP"/>
              </w:rPr>
              <w:t>丸山　順也</w:t>
            </w:r>
          </w:p>
        </w:tc>
        <w:tc>
          <w:tcPr>
            <w:tcW w:w="4949" w:type="dxa"/>
            <w:tcBorders>
              <w:top w:val="nil"/>
              <w:left w:val="nil"/>
              <w:bottom w:val="nil"/>
              <w:right w:val="nil"/>
            </w:tcBorders>
          </w:tcPr>
          <w:p w14:paraId="20B040F8" w14:textId="4F705DB3" w:rsidR="00C878B3" w:rsidRPr="009645B7" w:rsidRDefault="00711D85" w:rsidP="00C878B3">
            <w:pPr>
              <w:rPr>
                <w:rFonts w:asciiTheme="minorEastAsia" w:eastAsia="PMingLiU" w:hAnsiTheme="minorEastAsia"/>
                <w:sz w:val="21"/>
                <w:szCs w:val="21"/>
              </w:rPr>
            </w:pPr>
            <w:r>
              <w:rPr>
                <w:rFonts w:asciiTheme="minorEastAsia" w:hAnsiTheme="minorEastAsia" w:hint="eastAsia"/>
                <w:sz w:val="21"/>
                <w:szCs w:val="21"/>
                <w:lang w:eastAsia="ja-JP"/>
              </w:rPr>
              <w:t>会長</w:t>
            </w:r>
            <w:r w:rsidR="009645B7" w:rsidRPr="009645B7">
              <w:rPr>
                <w:rFonts w:asciiTheme="minorEastAsia" w:hAnsiTheme="minorEastAsia" w:hint="eastAsia"/>
                <w:sz w:val="21"/>
                <w:szCs w:val="21"/>
                <w:lang w:eastAsia="ja-JP"/>
              </w:rPr>
              <w:t xml:space="preserve">　</w:t>
            </w:r>
            <w:r w:rsidR="00D1463A">
              <w:rPr>
                <w:rFonts w:asciiTheme="minorEastAsia" w:hAnsiTheme="minorEastAsia" w:hint="eastAsia"/>
                <w:sz w:val="21"/>
                <w:szCs w:val="21"/>
                <w:lang w:eastAsia="ja-JP"/>
              </w:rPr>
              <w:t>イアン・ヨン・ヒアン・ワー</w:t>
            </w:r>
          </w:p>
        </w:tc>
      </w:tr>
      <w:tr w:rsidR="00C878B3" w:rsidRPr="009645B7" w14:paraId="12B10906" w14:textId="77777777" w:rsidTr="009645B7">
        <w:tc>
          <w:tcPr>
            <w:tcW w:w="3832" w:type="dxa"/>
            <w:tcBorders>
              <w:top w:val="nil"/>
              <w:left w:val="nil"/>
              <w:bottom w:val="nil"/>
              <w:right w:val="nil"/>
            </w:tcBorders>
          </w:tcPr>
          <w:p w14:paraId="71A3E2AD" w14:textId="5E1DDA68" w:rsidR="00C878B3" w:rsidRPr="009645B7" w:rsidRDefault="009645B7" w:rsidP="00C878B3">
            <w:pPr>
              <w:rPr>
                <w:rFonts w:asciiTheme="minorEastAsia" w:hAnsiTheme="minorEastAsia"/>
                <w:sz w:val="28"/>
                <w:szCs w:val="21"/>
                <w:u w:val="single"/>
              </w:rPr>
            </w:pPr>
            <w:r>
              <w:rPr>
                <w:rFonts w:asciiTheme="minorEastAsia" w:hAnsiTheme="minorEastAsia" w:hint="eastAsia"/>
                <w:sz w:val="28"/>
                <w:szCs w:val="21"/>
                <w:u w:val="single"/>
                <w:lang w:eastAsia="ja-JP"/>
              </w:rPr>
              <w:t xml:space="preserve">　　　　　　　　　　　　</w:t>
            </w:r>
          </w:p>
        </w:tc>
        <w:tc>
          <w:tcPr>
            <w:tcW w:w="4949" w:type="dxa"/>
            <w:tcBorders>
              <w:top w:val="nil"/>
              <w:left w:val="nil"/>
              <w:bottom w:val="nil"/>
              <w:right w:val="nil"/>
            </w:tcBorders>
          </w:tcPr>
          <w:p w14:paraId="373BF84A" w14:textId="23B7D2C7" w:rsidR="00C878B3" w:rsidRPr="009645B7" w:rsidRDefault="009645B7" w:rsidP="00C878B3">
            <w:pPr>
              <w:rPr>
                <w:rFonts w:asciiTheme="minorEastAsia" w:hAnsiTheme="minorEastAsia"/>
                <w:sz w:val="28"/>
                <w:szCs w:val="21"/>
                <w:u w:val="single"/>
              </w:rPr>
            </w:pPr>
            <w:r>
              <w:rPr>
                <w:rFonts w:asciiTheme="minorEastAsia" w:hAnsiTheme="minorEastAsia" w:hint="eastAsia"/>
                <w:sz w:val="28"/>
                <w:szCs w:val="21"/>
                <w:u w:val="single"/>
                <w:lang w:eastAsia="ja-JP"/>
              </w:rPr>
              <w:t xml:space="preserve">　　　　　　　　　　　　</w:t>
            </w:r>
          </w:p>
        </w:tc>
      </w:tr>
    </w:tbl>
    <w:p w14:paraId="31A94E49" w14:textId="472D01F0" w:rsidR="00C878B3" w:rsidRPr="009645B7" w:rsidRDefault="00C878B3" w:rsidP="009645B7">
      <w:pPr>
        <w:rPr>
          <w:rFonts w:asciiTheme="minorEastAsia" w:hAnsiTheme="minorEastAsia"/>
          <w:szCs w:val="21"/>
        </w:rPr>
      </w:pPr>
    </w:p>
    <w:sectPr w:rsidR="00C878B3" w:rsidRPr="009645B7" w:rsidSect="00F169C6">
      <w:pgSz w:w="11906" w:h="16838" w:code="9"/>
      <w:pgMar w:top="1701" w:right="1418"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B49E8" w14:textId="77777777" w:rsidR="0031232A" w:rsidRDefault="0031232A" w:rsidP="001B453C">
      <w:r>
        <w:separator/>
      </w:r>
    </w:p>
  </w:endnote>
  <w:endnote w:type="continuationSeparator" w:id="0">
    <w:p w14:paraId="60F5F2D9" w14:textId="77777777" w:rsidR="0031232A" w:rsidRDefault="0031232A" w:rsidP="001B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FD0C5" w14:textId="77777777" w:rsidR="0031232A" w:rsidRDefault="0031232A" w:rsidP="001B453C">
      <w:r>
        <w:separator/>
      </w:r>
    </w:p>
  </w:footnote>
  <w:footnote w:type="continuationSeparator" w:id="0">
    <w:p w14:paraId="01DFBB08" w14:textId="77777777" w:rsidR="0031232A" w:rsidRDefault="0031232A" w:rsidP="001B4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776"/>
    <w:rsid w:val="00013BEF"/>
    <w:rsid w:val="0001688B"/>
    <w:rsid w:val="000168A7"/>
    <w:rsid w:val="0001709D"/>
    <w:rsid w:val="00021D9D"/>
    <w:rsid w:val="00025B7D"/>
    <w:rsid w:val="000319E2"/>
    <w:rsid w:val="000408B2"/>
    <w:rsid w:val="00050309"/>
    <w:rsid w:val="00052C4E"/>
    <w:rsid w:val="00076076"/>
    <w:rsid w:val="000A113D"/>
    <w:rsid w:val="000A31D5"/>
    <w:rsid w:val="000B5448"/>
    <w:rsid w:val="000C25DE"/>
    <w:rsid w:val="000C358D"/>
    <w:rsid w:val="000C5B4B"/>
    <w:rsid w:val="000E21A7"/>
    <w:rsid w:val="000F76C4"/>
    <w:rsid w:val="00110579"/>
    <w:rsid w:val="00114673"/>
    <w:rsid w:val="00120924"/>
    <w:rsid w:val="00171C24"/>
    <w:rsid w:val="00180D2E"/>
    <w:rsid w:val="001A06C8"/>
    <w:rsid w:val="001A52C3"/>
    <w:rsid w:val="001A7E85"/>
    <w:rsid w:val="001B04FC"/>
    <w:rsid w:val="001B453C"/>
    <w:rsid w:val="001F3CD8"/>
    <w:rsid w:val="001F4136"/>
    <w:rsid w:val="002225D2"/>
    <w:rsid w:val="00256940"/>
    <w:rsid w:val="0026431A"/>
    <w:rsid w:val="002876A1"/>
    <w:rsid w:val="002B6814"/>
    <w:rsid w:val="002C0799"/>
    <w:rsid w:val="002D1792"/>
    <w:rsid w:val="002D7B08"/>
    <w:rsid w:val="002E6F38"/>
    <w:rsid w:val="002F0E82"/>
    <w:rsid w:val="0031232A"/>
    <w:rsid w:val="003148FA"/>
    <w:rsid w:val="003212FB"/>
    <w:rsid w:val="00334935"/>
    <w:rsid w:val="00341B73"/>
    <w:rsid w:val="00341B95"/>
    <w:rsid w:val="003453B5"/>
    <w:rsid w:val="00366A5D"/>
    <w:rsid w:val="00383302"/>
    <w:rsid w:val="003A775E"/>
    <w:rsid w:val="003B10D0"/>
    <w:rsid w:val="003B44CE"/>
    <w:rsid w:val="003B6045"/>
    <w:rsid w:val="003C656A"/>
    <w:rsid w:val="003D34AD"/>
    <w:rsid w:val="003E1776"/>
    <w:rsid w:val="003E77A6"/>
    <w:rsid w:val="0040007C"/>
    <w:rsid w:val="004164E2"/>
    <w:rsid w:val="00460033"/>
    <w:rsid w:val="00476EF0"/>
    <w:rsid w:val="00496397"/>
    <w:rsid w:val="004A2EBA"/>
    <w:rsid w:val="004C1BBE"/>
    <w:rsid w:val="004F198B"/>
    <w:rsid w:val="00546657"/>
    <w:rsid w:val="005C1220"/>
    <w:rsid w:val="005C2D29"/>
    <w:rsid w:val="005C5D80"/>
    <w:rsid w:val="005D17BB"/>
    <w:rsid w:val="005D3E9B"/>
    <w:rsid w:val="006008D4"/>
    <w:rsid w:val="00604DF8"/>
    <w:rsid w:val="006206DA"/>
    <w:rsid w:val="00631074"/>
    <w:rsid w:val="00656F47"/>
    <w:rsid w:val="00674B97"/>
    <w:rsid w:val="00692973"/>
    <w:rsid w:val="006A1BF4"/>
    <w:rsid w:val="006D2591"/>
    <w:rsid w:val="006F2BC1"/>
    <w:rsid w:val="00706039"/>
    <w:rsid w:val="0070736C"/>
    <w:rsid w:val="00711D85"/>
    <w:rsid w:val="0072154B"/>
    <w:rsid w:val="007308F6"/>
    <w:rsid w:val="007322AD"/>
    <w:rsid w:val="00750730"/>
    <w:rsid w:val="00763964"/>
    <w:rsid w:val="00770755"/>
    <w:rsid w:val="00784CA7"/>
    <w:rsid w:val="00797C2F"/>
    <w:rsid w:val="007B046C"/>
    <w:rsid w:val="007C25A3"/>
    <w:rsid w:val="007C64BE"/>
    <w:rsid w:val="007F5E36"/>
    <w:rsid w:val="0080045F"/>
    <w:rsid w:val="00822C88"/>
    <w:rsid w:val="008964B5"/>
    <w:rsid w:val="008C4BED"/>
    <w:rsid w:val="008D44D6"/>
    <w:rsid w:val="008E284E"/>
    <w:rsid w:val="00914BD7"/>
    <w:rsid w:val="00922FEC"/>
    <w:rsid w:val="00934151"/>
    <w:rsid w:val="00934ABB"/>
    <w:rsid w:val="00943477"/>
    <w:rsid w:val="00962498"/>
    <w:rsid w:val="009645B7"/>
    <w:rsid w:val="00996F74"/>
    <w:rsid w:val="009C6DEC"/>
    <w:rsid w:val="009D70D5"/>
    <w:rsid w:val="009F0554"/>
    <w:rsid w:val="00A202B4"/>
    <w:rsid w:val="00A31CA7"/>
    <w:rsid w:val="00A3369A"/>
    <w:rsid w:val="00A3619F"/>
    <w:rsid w:val="00A728E6"/>
    <w:rsid w:val="00A83A0C"/>
    <w:rsid w:val="00A8452E"/>
    <w:rsid w:val="00AA0C5A"/>
    <w:rsid w:val="00AB6F31"/>
    <w:rsid w:val="00AC6F3C"/>
    <w:rsid w:val="00AD3B91"/>
    <w:rsid w:val="00AE4BE5"/>
    <w:rsid w:val="00B034C5"/>
    <w:rsid w:val="00B25DBF"/>
    <w:rsid w:val="00B310E7"/>
    <w:rsid w:val="00B7053F"/>
    <w:rsid w:val="00BA508D"/>
    <w:rsid w:val="00BC4097"/>
    <w:rsid w:val="00BF2E82"/>
    <w:rsid w:val="00C12639"/>
    <w:rsid w:val="00C311C9"/>
    <w:rsid w:val="00C3525E"/>
    <w:rsid w:val="00C435C3"/>
    <w:rsid w:val="00C77599"/>
    <w:rsid w:val="00C87528"/>
    <w:rsid w:val="00C878B3"/>
    <w:rsid w:val="00C91495"/>
    <w:rsid w:val="00CA0993"/>
    <w:rsid w:val="00CD10F0"/>
    <w:rsid w:val="00CE3E7E"/>
    <w:rsid w:val="00CE48F4"/>
    <w:rsid w:val="00CE49FE"/>
    <w:rsid w:val="00D1463A"/>
    <w:rsid w:val="00D17BD8"/>
    <w:rsid w:val="00D755DC"/>
    <w:rsid w:val="00DA34E5"/>
    <w:rsid w:val="00DC170E"/>
    <w:rsid w:val="00DC383F"/>
    <w:rsid w:val="00E04DEA"/>
    <w:rsid w:val="00E16DAD"/>
    <w:rsid w:val="00E81B8D"/>
    <w:rsid w:val="00EA795C"/>
    <w:rsid w:val="00EB3EC3"/>
    <w:rsid w:val="00EC5265"/>
    <w:rsid w:val="00F169C6"/>
    <w:rsid w:val="00F57DE1"/>
    <w:rsid w:val="00F62A87"/>
    <w:rsid w:val="00F775D3"/>
    <w:rsid w:val="00FB72CF"/>
    <w:rsid w:val="00FC042F"/>
    <w:rsid w:val="00FE7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B95C734"/>
  <w15:chartTrackingRefBased/>
  <w15:docId w15:val="{FA950A50-DE58-448C-8B00-B1C8E91D5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53C"/>
    <w:pPr>
      <w:tabs>
        <w:tab w:val="center" w:pos="4252"/>
        <w:tab w:val="right" w:pos="8504"/>
      </w:tabs>
      <w:snapToGrid w:val="0"/>
    </w:pPr>
  </w:style>
  <w:style w:type="character" w:customStyle="1" w:styleId="a4">
    <w:name w:val="ヘッダー (文字)"/>
    <w:basedOn w:val="a0"/>
    <w:link w:val="a3"/>
    <w:uiPriority w:val="99"/>
    <w:rsid w:val="001B453C"/>
  </w:style>
  <w:style w:type="paragraph" w:styleId="a5">
    <w:name w:val="footer"/>
    <w:basedOn w:val="a"/>
    <w:link w:val="a6"/>
    <w:uiPriority w:val="99"/>
    <w:unhideWhenUsed/>
    <w:rsid w:val="001B453C"/>
    <w:pPr>
      <w:tabs>
        <w:tab w:val="center" w:pos="4252"/>
        <w:tab w:val="right" w:pos="8504"/>
      </w:tabs>
      <w:snapToGrid w:val="0"/>
    </w:pPr>
  </w:style>
  <w:style w:type="character" w:customStyle="1" w:styleId="a6">
    <w:name w:val="フッター (文字)"/>
    <w:basedOn w:val="a0"/>
    <w:link w:val="a5"/>
    <w:uiPriority w:val="99"/>
    <w:rsid w:val="001B453C"/>
  </w:style>
  <w:style w:type="table" w:styleId="a7">
    <w:name w:val="Table Grid"/>
    <w:basedOn w:val="a1"/>
    <w:uiPriority w:val="59"/>
    <w:rsid w:val="00076076"/>
    <w:rPr>
      <w:sz w:val="24"/>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A728E6"/>
    <w:rPr>
      <w:sz w:val="18"/>
      <w:szCs w:val="18"/>
    </w:rPr>
  </w:style>
  <w:style w:type="paragraph" w:styleId="a9">
    <w:name w:val="annotation text"/>
    <w:basedOn w:val="a"/>
    <w:link w:val="aa"/>
    <w:uiPriority w:val="99"/>
    <w:unhideWhenUsed/>
    <w:rsid w:val="00A728E6"/>
    <w:pPr>
      <w:jc w:val="left"/>
    </w:pPr>
  </w:style>
  <w:style w:type="character" w:customStyle="1" w:styleId="aa">
    <w:name w:val="コメント文字列 (文字)"/>
    <w:basedOn w:val="a0"/>
    <w:link w:val="a9"/>
    <w:uiPriority w:val="99"/>
    <w:rsid w:val="00A728E6"/>
  </w:style>
  <w:style w:type="paragraph" w:styleId="ab">
    <w:name w:val="annotation subject"/>
    <w:basedOn w:val="a9"/>
    <w:next w:val="a9"/>
    <w:link w:val="ac"/>
    <w:uiPriority w:val="99"/>
    <w:semiHidden/>
    <w:unhideWhenUsed/>
    <w:rsid w:val="00A728E6"/>
    <w:rPr>
      <w:b/>
      <w:bCs/>
    </w:rPr>
  </w:style>
  <w:style w:type="character" w:customStyle="1" w:styleId="ac">
    <w:name w:val="コメント内容 (文字)"/>
    <w:basedOn w:val="aa"/>
    <w:link w:val="ab"/>
    <w:uiPriority w:val="99"/>
    <w:semiHidden/>
    <w:rsid w:val="00A728E6"/>
    <w:rPr>
      <w:b/>
      <w:bCs/>
    </w:rPr>
  </w:style>
  <w:style w:type="paragraph" w:styleId="ad">
    <w:name w:val="Balloon Text"/>
    <w:basedOn w:val="a"/>
    <w:link w:val="ae"/>
    <w:uiPriority w:val="99"/>
    <w:semiHidden/>
    <w:unhideWhenUsed/>
    <w:rsid w:val="00A728E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728E6"/>
    <w:rPr>
      <w:rFonts w:asciiTheme="majorHAnsi" w:eastAsiaTheme="majorEastAsia" w:hAnsiTheme="majorHAnsi" w:cstheme="majorBidi"/>
      <w:sz w:val="18"/>
      <w:szCs w:val="18"/>
    </w:rPr>
  </w:style>
  <w:style w:type="paragraph" w:styleId="af">
    <w:name w:val="Revision"/>
    <w:hidden/>
    <w:uiPriority w:val="99"/>
    <w:semiHidden/>
    <w:rsid w:val="00784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EB340E-0FB1-487B-8F6D-6D9AE047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421</Words>
  <Characters>2405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2024-03-05T06:55:00Z</cp:lastPrinted>
  <dcterms:created xsi:type="dcterms:W3CDTF">2024-02-16T06:41:00Z</dcterms:created>
  <dcterms:modified xsi:type="dcterms:W3CDTF">2024-03-12T07:24:00Z</dcterms:modified>
</cp:coreProperties>
</file>