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6092" w14:textId="77777777" w:rsidR="00AA7D1B" w:rsidRPr="00E31F14" w:rsidRDefault="00AA7D1B" w:rsidP="00AA7D1B">
      <w:pPr>
        <w:snapToGri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32"/>
          <w:szCs w:val="32"/>
        </w:rPr>
      </w:pP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32"/>
          <w:szCs w:val="32"/>
        </w:rPr>
        <w:t>大阪港湾局と武漢新港管理委員会の</w:t>
      </w:r>
    </w:p>
    <w:p w14:paraId="4AF35B34" w14:textId="3AA97FEC" w:rsidR="008E6E25" w:rsidRPr="00E31F14" w:rsidRDefault="00AA7D1B" w:rsidP="00AA7D1B">
      <w:pPr>
        <w:snapToGri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32"/>
          <w:szCs w:val="32"/>
        </w:rPr>
      </w:pP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32"/>
          <w:szCs w:val="32"/>
        </w:rPr>
        <w:t>パートナーシップ港提携に関する覚書</w:t>
      </w:r>
    </w:p>
    <w:p w14:paraId="74FEBEBE" w14:textId="77777777" w:rsidR="008E6E25" w:rsidRPr="00E31F14" w:rsidRDefault="008E6E25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6BE86B98" w14:textId="4D0978E6" w:rsidR="008E6E25" w:rsidRPr="00E31F14" w:rsidRDefault="009B1C90" w:rsidP="00535F6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大阪港湾局</w:t>
      </w:r>
      <w:r w:rsidR="00535F6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と武漢新港管理委員会</w:t>
      </w:r>
      <w:r w:rsidR="002D7819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（</w:t>
      </w:r>
      <w:r w:rsidR="002D7819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以下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「両者」</w:t>
      </w:r>
      <w:r w:rsidR="00A936D8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という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。</w:t>
      </w:r>
      <w:r w:rsidR="00A355B2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）</w:t>
      </w:r>
      <w:r w:rsidR="00A936D8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互恵関係</w:t>
      </w:r>
      <w:r w:rsidR="00A936D8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に基づき、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両者の</w:t>
      </w:r>
      <w:r w:rsidR="00A936D8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管理する港湾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（以下「両港湾」という。）</w:t>
      </w:r>
      <w:r w:rsidR="00AD27B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間の交流を促進</w:t>
      </w:r>
      <w:r w:rsidR="00AD27B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させ</w:t>
      </w:r>
      <w:r w:rsidR="00A936D8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、</w:t>
      </w:r>
      <w:r w:rsidR="00AD27B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両者の相互理解と長期的な協力関係の構築を図る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ため</w:t>
      </w:r>
      <w:r w:rsidR="00A936D8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、</w:t>
      </w:r>
      <w:r w:rsidR="00AD27B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次のとおりパートナーシップ港として提携することをここに確認する。</w:t>
      </w:r>
    </w:p>
    <w:p w14:paraId="4E7487B3" w14:textId="77777777" w:rsidR="008E6E25" w:rsidRPr="00E31F14" w:rsidRDefault="008E6E25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6786C401" w14:textId="4B43AFE9" w:rsidR="008E6E25" w:rsidRPr="00E31F14" w:rsidRDefault="00AA7D1B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>第</w:t>
      </w: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１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条</w:t>
      </w:r>
      <w:r w:rsidR="00A355B2"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 xml:space="preserve"> </w:t>
      </w: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提携</w:t>
      </w:r>
      <w:r w:rsidR="00A936D8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の目的</w:t>
      </w:r>
    </w:p>
    <w:p w14:paraId="618AD277" w14:textId="5CAE23A2" w:rsidR="008E6E25" w:rsidRPr="00E31F14" w:rsidRDefault="00411B5B" w:rsidP="00411B5B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本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覚書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</w:t>
      </w:r>
      <w:r w:rsidR="00AA7D1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両港湾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の安定的かつ持続可能な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発展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を共同で促進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することを目的と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し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、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両者は、本覚書に基づき、両港湾における人流、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物流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、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航路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およびその他の側面において相互協力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を進め、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相互利益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の実現に努めることとする。</w:t>
      </w:r>
    </w:p>
    <w:p w14:paraId="1C99CED4" w14:textId="77777777" w:rsidR="00535F6C" w:rsidRPr="00E31F14" w:rsidRDefault="00535F6C" w:rsidP="00411B5B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25B903C9" w14:textId="70DA5F3C" w:rsidR="008E6E25" w:rsidRPr="00E31F14" w:rsidRDefault="00337E1E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>第</w:t>
      </w: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２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条</w:t>
      </w:r>
      <w:r w:rsidR="00A355B2"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 xml:space="preserve"> </w:t>
      </w:r>
      <w:r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提携</w:t>
      </w:r>
      <w:r w:rsidR="00411B5B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事項</w:t>
      </w:r>
    </w:p>
    <w:p w14:paraId="04846834" w14:textId="34C26C94" w:rsidR="00337E1E" w:rsidRPr="00E31F14" w:rsidRDefault="00337E1E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bCs/>
          <w:color w:val="000000" w:themeColor="text1"/>
          <w:sz w:val="28"/>
          <w:szCs w:val="28"/>
        </w:rPr>
        <w:t xml:space="preserve">　本覚書による提携事項は、義務や制限、法的拘束力を持たないこととするが、両者は、次のとおり、信義に従い誠実に取り組まなければならない。</w:t>
      </w:r>
    </w:p>
    <w:p w14:paraId="45D306B8" w14:textId="54E9F81B" w:rsidR="008E6E25" w:rsidRPr="00E31F14" w:rsidRDefault="00A355B2" w:rsidP="00CF4CE8">
      <w:pPr>
        <w:pStyle w:val="a9"/>
        <w:snapToGrid w:val="0"/>
        <w:spacing w:line="0" w:lineRule="atLeast"/>
        <w:ind w:leftChars="200" w:left="700" w:hangingChars="100" w:hanging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 xml:space="preserve">1. 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411B5B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は、便利で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良質な</w:t>
      </w:r>
      <w:r w:rsidR="00411B5B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サービスを提供するため</w:t>
      </w:r>
      <w:r w:rsidR="00411B5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</w:t>
      </w:r>
      <w:r w:rsidR="00411B5B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両港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湾</w:t>
      </w:r>
      <w:r w:rsidR="00411B5B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間の航路の開通と運営を積極的に推進</w:t>
      </w:r>
      <w:r w:rsidR="00411B5B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する。</w:t>
      </w:r>
    </w:p>
    <w:p w14:paraId="3E5C9901" w14:textId="6CB56A32" w:rsidR="00411B5B" w:rsidRPr="00E31F14" w:rsidRDefault="00A355B2" w:rsidP="00CF4CE8">
      <w:pPr>
        <w:pStyle w:val="a9"/>
        <w:snapToGrid w:val="0"/>
        <w:spacing w:line="0" w:lineRule="atLeast"/>
        <w:ind w:leftChars="200" w:left="700" w:hangingChars="100" w:hanging="280"/>
        <w:textAlignment w:val="baseline"/>
        <w:rPr>
          <w:rFonts w:ascii="ＭＳ 明朝" w:eastAsia="ＭＳ 明朝" w:hAnsi="ＭＳ 明朝"/>
          <w:color w:val="000000" w:themeColor="text1"/>
          <w:sz w:val="27"/>
          <w:szCs w:val="27"/>
          <w:shd w:val="clear" w:color="auto" w:fill="F5F5F5"/>
        </w:rPr>
      </w:pP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 xml:space="preserve">2. 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411B5B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は、両港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湾の海運に関する</w:t>
      </w:r>
      <w:r w:rsidR="002A0A1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情報の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交換を行う。</w:t>
      </w:r>
    </w:p>
    <w:p w14:paraId="0ED6F5F3" w14:textId="585E6085" w:rsidR="008E6E25" w:rsidRPr="00E31F14" w:rsidRDefault="00A355B2" w:rsidP="00CF4CE8">
      <w:pPr>
        <w:pStyle w:val="a9"/>
        <w:snapToGrid w:val="0"/>
        <w:spacing w:line="0" w:lineRule="atLeast"/>
        <w:ind w:leftChars="200" w:left="700" w:hangingChars="100" w:hanging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 xml:space="preserve">3. 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535F6C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人員の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交流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と</w:t>
      </w:r>
      <w:r w:rsidR="00535F6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相互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訪問</w:t>
      </w:r>
      <w:r w:rsidR="00337E1E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の強化に努め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、港湾</w:t>
      </w:r>
      <w:r w:rsidR="007040E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における人材の育成に努力する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。</w:t>
      </w:r>
    </w:p>
    <w:p w14:paraId="67A63228" w14:textId="336A9559" w:rsidR="008E6E25" w:rsidRPr="00E31F14" w:rsidRDefault="00A355B2" w:rsidP="00CF4CE8">
      <w:pPr>
        <w:pStyle w:val="a9"/>
        <w:snapToGrid w:val="0"/>
        <w:spacing w:line="0" w:lineRule="atLeast"/>
        <w:ind w:leftChars="200" w:left="700" w:hangingChars="100" w:hanging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 xml:space="preserve">4. 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その他の事項は、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社会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状況の変化と実際の必要性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に応じ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て</w:t>
      </w:r>
      <w:r w:rsidR="007040E4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、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7040E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の協議を経て定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め</w:t>
      </w:r>
      <w:r w:rsidR="007040E4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る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。</w:t>
      </w:r>
    </w:p>
    <w:p w14:paraId="6DDF224A" w14:textId="77777777" w:rsidR="008E6E25" w:rsidRPr="00E31F14" w:rsidRDefault="008E6E25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24335118" w14:textId="416A9DCE" w:rsidR="008E6E25" w:rsidRPr="00E31F14" w:rsidRDefault="00A355B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>第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３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条</w:t>
      </w: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 xml:space="preserve"> 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提携</w:t>
      </w:r>
      <w:r w:rsidR="007040E4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事項に関する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協議</w:t>
      </w:r>
    </w:p>
    <w:p w14:paraId="5FBAC1E2" w14:textId="268A2998" w:rsidR="008E6E25" w:rsidRPr="00E31F14" w:rsidRDefault="0072724C" w:rsidP="00535F6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9E021D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は、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必要に応じて、</w:t>
      </w:r>
      <w:r w:rsidR="009E021D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本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覚書</w:t>
      </w:r>
      <w:r w:rsidR="009E021D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に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定める提携</w:t>
      </w:r>
      <w:r w:rsidR="009E021D"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事項について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協議し定める。</w:t>
      </w:r>
    </w:p>
    <w:p w14:paraId="1AACF5D6" w14:textId="77777777" w:rsidR="008E6E25" w:rsidRPr="00E31F14" w:rsidRDefault="008E6E25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54EA8257" w14:textId="0F9E553F" w:rsidR="009E021D" w:rsidRPr="00E31F14" w:rsidRDefault="00A355B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>第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４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条</w:t>
      </w: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 xml:space="preserve"> 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連絡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窓口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の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設置</w:t>
      </w:r>
    </w:p>
    <w:p w14:paraId="586A3552" w14:textId="577EC81D" w:rsidR="008E6E25" w:rsidRPr="00E31F14" w:rsidRDefault="0072724C" w:rsidP="00DC25FF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は、定められた提携事項を着実に遂行するため、本覚書の締結後速やかに、連絡窓口となる担当者を指定し、担当者の連絡先を書面で相手側に通知する。また、当該内容に変更が生じた場合には、遅滞なく通知するものとする。</w:t>
      </w:r>
    </w:p>
    <w:p w14:paraId="18F20BEC" w14:textId="1569E60E" w:rsidR="005D7DC3" w:rsidRPr="00E31F14" w:rsidRDefault="005D7DC3" w:rsidP="00535F6C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5C7B9861" w14:textId="79356F16" w:rsidR="00154688" w:rsidRPr="00E31F14" w:rsidRDefault="00A355B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>第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５</w:t>
      </w:r>
      <w:r w:rsidR="009E021D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条</w:t>
      </w:r>
      <w:r w:rsidRPr="00E31F14"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  <w:t xml:space="preserve"> </w:t>
      </w:r>
      <w:r w:rsidR="0072724C" w:rsidRPr="00E31F14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その他</w:t>
      </w:r>
    </w:p>
    <w:p w14:paraId="4A882BC3" w14:textId="77777777" w:rsidR="0072724C" w:rsidRPr="00E31F14" w:rsidRDefault="00954E3A" w:rsidP="00535F6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本</w:t>
      </w:r>
      <w:r w:rsidR="0072724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覚書に定めのない事項は、別途協議の上、決定するものとする。</w:t>
      </w:r>
    </w:p>
    <w:p w14:paraId="5BBE1B1F" w14:textId="77777777" w:rsidR="0072724C" w:rsidRPr="00E31F14" w:rsidRDefault="0072724C" w:rsidP="00535F6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10F0C7B0" w14:textId="4B56BC4F" w:rsidR="0072724C" w:rsidRPr="00E31F14" w:rsidRDefault="0072724C" w:rsidP="0072724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本覚書は、両者が署名した日から効力を生ずるが、いずれか一方の当事者が本覚書による提携の終了を求める場合は、書面で相手側に通知するものとし、本覚書は、相手側がその通知を受理してから、６ヶ月後に失効する。</w:t>
      </w:r>
    </w:p>
    <w:p w14:paraId="5982F26C" w14:textId="0F9AFD44" w:rsidR="0072724C" w:rsidRPr="00E31F14" w:rsidRDefault="0072724C" w:rsidP="0072724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29386D4A" w14:textId="1FCBBB10" w:rsidR="008E6E25" w:rsidRPr="00E31F14" w:rsidRDefault="0072724C" w:rsidP="0072724C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本覚書は</w:t>
      </w:r>
      <w:r w:rsidR="00954E3A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日本語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と中国語により２</w:t>
      </w:r>
      <w:r w:rsidR="00954E3A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通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ずつ</w:t>
      </w:r>
      <w:r w:rsidR="00954E3A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作成</w:t>
      </w:r>
      <w:r w:rsidR="00A355B2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し、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両者</w:t>
      </w:r>
      <w:r w:rsidR="00A355B2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がそれぞれ1</w:t>
      </w:r>
      <w:r w:rsidR="00535F6C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通</w:t>
      </w:r>
      <w:r w:rsidR="004B1C28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保有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し、いずれも同等の効力</w:t>
      </w:r>
      <w:r w:rsidR="00A355B2"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を有するものとする。</w:t>
      </w:r>
    </w:p>
    <w:p w14:paraId="74C58320" w14:textId="77777777" w:rsidR="008E6E25" w:rsidRPr="00E31F14" w:rsidRDefault="008E6E25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58445B42" w14:textId="77777777" w:rsidR="008E6E25" w:rsidRPr="00E31F14" w:rsidRDefault="008E6E25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07B04DD8" w14:textId="77777777" w:rsidR="00377573" w:rsidRDefault="00377573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4AF57D07" w14:textId="047E9895" w:rsidR="001D1A10" w:rsidRDefault="001D1A10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:lang w:eastAsia="zh-CN"/>
        </w:rPr>
        <w:t>大阪港湾局</w:t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  <w:lang w:eastAsia="zh-CN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  <w:lang w:eastAsia="zh-CN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  <w:lang w:eastAsia="zh-CN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  <w:lang w:eastAsia="zh-CN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:lang w:eastAsia="zh-CN"/>
        </w:rPr>
        <w:t>武漢新港管理委員会</w:t>
      </w:r>
    </w:p>
    <w:p w14:paraId="79FDCE08" w14:textId="7DCAF012" w:rsidR="001D1A10" w:rsidRDefault="001D1A10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局長</w:t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主任</w:t>
      </w:r>
    </w:p>
    <w:p w14:paraId="7EE6A21C" w14:textId="2A6FCB50" w:rsidR="008E6E25" w:rsidRPr="00E31F14" w:rsidRDefault="001D1A10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田中　利光</w:t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張　林</w:t>
      </w:r>
    </w:p>
    <w:p w14:paraId="70E5F90A" w14:textId="17E86D30" w:rsidR="008E6E25" w:rsidRDefault="008E6E25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4AB18A47" w14:textId="06076E9D" w:rsidR="001D1A10" w:rsidRDefault="001D1A10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4A434C67" w14:textId="69111829" w:rsidR="008E6E25" w:rsidRDefault="00A355B2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20</w:t>
      </w:r>
      <w:r w:rsidRPr="00E31F1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21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年</w:t>
      </w:r>
      <w:r w:rsidR="005D7DC3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12</w:t>
      </w:r>
      <w:r w:rsidRPr="00E31F14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月</w:t>
      </w:r>
      <w:r w:rsidR="005D7DC3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16</w:t>
      </w:r>
      <w:r w:rsidR="005D7DC3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日</w:t>
      </w:r>
      <w:r w:rsidR="005D7DC3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、</w:t>
      </w:r>
      <w:r w:rsidR="001D1A10" w:rsidRPr="00515A7D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東京・武漢</w:t>
      </w:r>
      <w:r w:rsidRPr="00515A7D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:u w:color="000000"/>
        </w:rPr>
        <w:t>にて署</w:t>
      </w:r>
      <w:r w:rsidRPr="005D7DC3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:u w:color="000000"/>
        </w:rPr>
        <w:t>名</w:t>
      </w:r>
      <w:r w:rsidRPr="005D7DC3">
        <w:rPr>
          <w:rFonts w:ascii="ＭＳ 明朝" w:eastAsia="ＭＳ 明朝" w:hAnsi="ＭＳ 明朝" w:cs="Times New Roman"/>
          <w:color w:val="000000" w:themeColor="text1"/>
          <w:sz w:val="28"/>
          <w:szCs w:val="28"/>
        </w:rPr>
        <w:t>。</w:t>
      </w:r>
    </w:p>
    <w:p w14:paraId="12FB5F10" w14:textId="77777777" w:rsidR="005D7DC3" w:rsidRPr="001D1A10" w:rsidRDefault="005D7DC3">
      <w:pPr>
        <w:snapToGrid w:val="0"/>
        <w:spacing w:line="0" w:lineRule="atLeast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sectPr w:rsidR="005D7DC3" w:rsidRPr="001D1A10" w:rsidSect="00A900A3">
      <w:pgSz w:w="11906" w:h="16838" w:code="9"/>
      <w:pgMar w:top="1985" w:right="1531" w:bottom="1985" w:left="153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A3A3" w16cex:dateUtc="2021-11-22T14:17:00Z"/>
  <w16cex:commentExtensible w16cex:durableId="2546A46A" w16cex:dateUtc="2021-11-22T14:21:00Z"/>
  <w16cex:commentExtensible w16cex:durableId="2546A4C9" w16cex:dateUtc="2021-11-22T14:22:00Z"/>
  <w16cex:commentExtensible w16cex:durableId="2546A5A4" w16cex:dateUtc="2021-11-2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2CAF2" w16cid:durableId="2546A318"/>
  <w16cid:commentId w16cid:paraId="7C8709CC" w16cid:durableId="2546A319"/>
  <w16cid:commentId w16cid:paraId="40EAB484" w16cid:durableId="2546A3A3"/>
  <w16cid:commentId w16cid:paraId="2F6EEAC1" w16cid:durableId="2546A31A"/>
  <w16cid:commentId w16cid:paraId="275D81DD" w16cid:durableId="2546A31B"/>
  <w16cid:commentId w16cid:paraId="15AFC5A6" w16cid:durableId="2546A46A"/>
  <w16cid:commentId w16cid:paraId="13978CAB" w16cid:durableId="2546A31C"/>
  <w16cid:commentId w16cid:paraId="24E7AB13" w16cid:durableId="2546A4C9"/>
  <w16cid:commentId w16cid:paraId="7F6FED49" w16cid:durableId="2546A31D"/>
  <w16cid:commentId w16cid:paraId="24FEBCAB" w16cid:durableId="2546A5A4"/>
  <w16cid:commentId w16cid:paraId="65A293BC" w16cid:durableId="2546A31E"/>
  <w16cid:commentId w16cid:paraId="469887BD" w16cid:durableId="2546A3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1399" w14:textId="77777777" w:rsidR="000D6A0D" w:rsidRDefault="000D6A0D" w:rsidP="008542C7">
      <w:r>
        <w:separator/>
      </w:r>
    </w:p>
  </w:endnote>
  <w:endnote w:type="continuationSeparator" w:id="0">
    <w:p w14:paraId="002DEE60" w14:textId="77777777" w:rsidR="000D6A0D" w:rsidRDefault="000D6A0D" w:rsidP="0085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29653" w14:textId="77777777" w:rsidR="000D6A0D" w:rsidRDefault="000D6A0D" w:rsidP="008542C7">
      <w:r>
        <w:separator/>
      </w:r>
    </w:p>
  </w:footnote>
  <w:footnote w:type="continuationSeparator" w:id="0">
    <w:p w14:paraId="1DF45884" w14:textId="77777777" w:rsidR="000D6A0D" w:rsidRDefault="000D6A0D" w:rsidP="0085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C7"/>
    <w:rsid w:val="000258C7"/>
    <w:rsid w:val="00031F8F"/>
    <w:rsid w:val="000337A9"/>
    <w:rsid w:val="00082705"/>
    <w:rsid w:val="000D49ED"/>
    <w:rsid w:val="000D6A0D"/>
    <w:rsid w:val="000F77FD"/>
    <w:rsid w:val="00154688"/>
    <w:rsid w:val="0015562A"/>
    <w:rsid w:val="001D1A10"/>
    <w:rsid w:val="001E26D1"/>
    <w:rsid w:val="00251B66"/>
    <w:rsid w:val="00265A54"/>
    <w:rsid w:val="00274F7B"/>
    <w:rsid w:val="0029756F"/>
    <w:rsid w:val="002A0A14"/>
    <w:rsid w:val="002D7819"/>
    <w:rsid w:val="00317AAF"/>
    <w:rsid w:val="00317B53"/>
    <w:rsid w:val="0032510C"/>
    <w:rsid w:val="00337E1E"/>
    <w:rsid w:val="0035654C"/>
    <w:rsid w:val="0037432A"/>
    <w:rsid w:val="00377573"/>
    <w:rsid w:val="00395475"/>
    <w:rsid w:val="003A4EDD"/>
    <w:rsid w:val="004058EF"/>
    <w:rsid w:val="00411B5B"/>
    <w:rsid w:val="00412631"/>
    <w:rsid w:val="00481961"/>
    <w:rsid w:val="004B1C28"/>
    <w:rsid w:val="00506EC6"/>
    <w:rsid w:val="00515A7D"/>
    <w:rsid w:val="00516893"/>
    <w:rsid w:val="00527E53"/>
    <w:rsid w:val="00531880"/>
    <w:rsid w:val="00535F6C"/>
    <w:rsid w:val="005446AB"/>
    <w:rsid w:val="0055029A"/>
    <w:rsid w:val="00571208"/>
    <w:rsid w:val="005D7DC3"/>
    <w:rsid w:val="005E500A"/>
    <w:rsid w:val="005E6958"/>
    <w:rsid w:val="005F51E5"/>
    <w:rsid w:val="005F5D31"/>
    <w:rsid w:val="00634AAE"/>
    <w:rsid w:val="0063762C"/>
    <w:rsid w:val="00675584"/>
    <w:rsid w:val="006A1049"/>
    <w:rsid w:val="006B6E2F"/>
    <w:rsid w:val="006E0F6F"/>
    <w:rsid w:val="007040E4"/>
    <w:rsid w:val="0072724C"/>
    <w:rsid w:val="007716E8"/>
    <w:rsid w:val="007C0422"/>
    <w:rsid w:val="007C71DB"/>
    <w:rsid w:val="008542C7"/>
    <w:rsid w:val="008D70E3"/>
    <w:rsid w:val="008E6E25"/>
    <w:rsid w:val="00921C1D"/>
    <w:rsid w:val="00954E3A"/>
    <w:rsid w:val="00984496"/>
    <w:rsid w:val="0098621F"/>
    <w:rsid w:val="009B1C90"/>
    <w:rsid w:val="009E021D"/>
    <w:rsid w:val="009E1760"/>
    <w:rsid w:val="00A1532E"/>
    <w:rsid w:val="00A355B2"/>
    <w:rsid w:val="00A645FA"/>
    <w:rsid w:val="00A77969"/>
    <w:rsid w:val="00A900A3"/>
    <w:rsid w:val="00A936D8"/>
    <w:rsid w:val="00AA7D1B"/>
    <w:rsid w:val="00AD27B4"/>
    <w:rsid w:val="00AD6C5C"/>
    <w:rsid w:val="00AE523A"/>
    <w:rsid w:val="00B418D6"/>
    <w:rsid w:val="00B426D9"/>
    <w:rsid w:val="00BF6EC5"/>
    <w:rsid w:val="00C00AC6"/>
    <w:rsid w:val="00C52E5A"/>
    <w:rsid w:val="00C879A1"/>
    <w:rsid w:val="00CB0196"/>
    <w:rsid w:val="00CF4CE8"/>
    <w:rsid w:val="00CF5769"/>
    <w:rsid w:val="00D0371B"/>
    <w:rsid w:val="00D544E5"/>
    <w:rsid w:val="00D7453A"/>
    <w:rsid w:val="00DB3335"/>
    <w:rsid w:val="00DC25FF"/>
    <w:rsid w:val="00DD06E8"/>
    <w:rsid w:val="00DD5E8D"/>
    <w:rsid w:val="00DE4F46"/>
    <w:rsid w:val="00E174AB"/>
    <w:rsid w:val="00E31B6C"/>
    <w:rsid w:val="00E31F14"/>
    <w:rsid w:val="00E61F92"/>
    <w:rsid w:val="00E921A5"/>
    <w:rsid w:val="00ED43CE"/>
    <w:rsid w:val="00F24CD8"/>
    <w:rsid w:val="00F3135E"/>
    <w:rsid w:val="00F431C0"/>
    <w:rsid w:val="00F67216"/>
    <w:rsid w:val="00F70718"/>
    <w:rsid w:val="00FC034E"/>
    <w:rsid w:val="00FC2B7B"/>
    <w:rsid w:val="1CDB6A83"/>
    <w:rsid w:val="2EBD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55B00C"/>
  <w15:docId w15:val="{960D8E10-C9D7-4083-AF46-FB5BBB8F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jlqj4b">
    <w:name w:val="jlqj4b"/>
    <w:basedOn w:val="a0"/>
    <w:rsid w:val="00411B5B"/>
  </w:style>
  <w:style w:type="character" w:customStyle="1" w:styleId="viiyi">
    <w:name w:val="viiyi"/>
    <w:basedOn w:val="a0"/>
    <w:rsid w:val="009E021D"/>
  </w:style>
  <w:style w:type="character" w:styleId="aa">
    <w:name w:val="annotation reference"/>
    <w:basedOn w:val="a0"/>
    <w:uiPriority w:val="99"/>
    <w:semiHidden/>
    <w:unhideWhenUsed/>
    <w:rsid w:val="00AA7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A7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A7D1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7D1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65998BFCB7DD4CB3F0BC8D6B02CFD9" ma:contentTypeVersion="9" ma:contentTypeDescription="新しいドキュメントを作成します。" ma:contentTypeScope="" ma:versionID="8769ecfbbd12a76dad774ffcbfe75f71">
  <xsd:schema xmlns:xsd="http://www.w3.org/2001/XMLSchema" xmlns:xs="http://www.w3.org/2001/XMLSchema" xmlns:p="http://schemas.microsoft.com/office/2006/metadata/properties" xmlns:ns3="8a980b58-3398-46dc-b814-2ca55da5323a" xmlns:ns4="23d756e8-a311-4b58-93e4-9f130acd7c1e" targetNamespace="http://schemas.microsoft.com/office/2006/metadata/properties" ma:root="true" ma:fieldsID="5e4d027e2bf6a34617721e5de43ce9a3" ns3:_="" ns4:_="">
    <xsd:import namespace="8a980b58-3398-46dc-b814-2ca55da5323a"/>
    <xsd:import namespace="23d756e8-a311-4b58-93e4-9f130acd7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0b58-3398-46dc-b814-2ca55da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56e8-a311-4b58-93e4-9f130acd7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35913-2241-4309-8F21-24E56BAC387A}">
  <ds:schemaRefs>
    <ds:schemaRef ds:uri="http://purl.org/dc/elements/1.1/"/>
    <ds:schemaRef ds:uri="http://schemas.microsoft.com/office/2006/metadata/properties"/>
    <ds:schemaRef ds:uri="23d756e8-a311-4b58-93e4-9f130acd7c1e"/>
    <ds:schemaRef ds:uri="http://schemas.microsoft.com/office/infopath/2007/PartnerControls"/>
    <ds:schemaRef ds:uri="http://purl.org/dc/terms/"/>
    <ds:schemaRef ds:uri="8a980b58-3398-46dc-b814-2ca55da5323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E5417C-AD3C-4928-BCCC-213C9455A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DAABC-6512-4DA7-BB55-E7416D14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80b58-3398-46dc-b814-2ca55da5323a"/>
    <ds:schemaRef ds:uri="23d756e8-a311-4b58-93e4-9f130acd7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2021-12-14T06:24:00Z</cp:lastPrinted>
  <dcterms:created xsi:type="dcterms:W3CDTF">2021-12-14T00:18:00Z</dcterms:created>
  <dcterms:modified xsi:type="dcterms:W3CDTF">2022-06-16T06:03:00Z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ContentTypeId">
    <vt:lpwstr>0x010100D565998BFCB7DD4CB3F0BC8D6B02CFD9</vt:lpwstr>
  </property>
</Properties>
</file>