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73" w:rsidRDefault="003D0A41">
      <w:pPr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BB4C4F">
        <w:rPr>
          <w:rFonts w:ascii="ＭＳ Ｐゴシック" w:eastAsia="ＭＳ Ｐゴシック" w:hAnsi="ＭＳ Ｐゴシック" w:hint="eastAsia"/>
          <w:b/>
        </w:rPr>
        <w:t>【</w:t>
      </w:r>
      <w:r w:rsidR="00AA5043" w:rsidRPr="00BB4C4F">
        <w:rPr>
          <w:rFonts w:ascii="ＭＳ Ｐゴシック" w:eastAsia="ＭＳ Ｐゴシック" w:hAnsi="ＭＳ Ｐゴシック" w:hint="eastAsia"/>
          <w:b/>
        </w:rPr>
        <w:t>人口構造の変化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 w:rsidR="00E00D32" w:rsidRPr="00BB4C4F">
        <w:rPr>
          <w:rFonts w:ascii="ＭＳ Ｐゴシック" w:eastAsia="ＭＳ Ｐゴシック" w:hAnsi="ＭＳ Ｐゴシック" w:hint="eastAsia"/>
          <w:b/>
        </w:rPr>
        <w:t>（大阪市）</w:t>
      </w:r>
    </w:p>
    <w:p w:rsidR="00AA5043" w:rsidRDefault="001E70C0" w:rsidP="00AA5043">
      <w:pPr>
        <w:snapToGrid w:val="0"/>
        <w:spacing w:line="228" w:lineRule="auto"/>
        <w:rPr>
          <w:noProof/>
          <w:szCs w:val="18"/>
        </w:rPr>
      </w:pPr>
      <w:r>
        <w:rPr>
          <w:noProof/>
          <w:szCs w:val="18"/>
        </w:rPr>
        <w:drawing>
          <wp:inline distT="0" distB="0" distL="0" distR="0" wp14:anchorId="3B69F6CD">
            <wp:extent cx="5695950" cy="3137935"/>
            <wp:effectExtent l="0" t="0" r="0" b="571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89" cy="315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043" w:rsidRPr="00D81ECE" w:rsidRDefault="00AA5043" w:rsidP="00AA5043">
      <w:pPr>
        <w:snapToGrid w:val="0"/>
        <w:spacing w:line="228" w:lineRule="auto"/>
        <w:rPr>
          <w:sz w:val="18"/>
          <w:szCs w:val="18"/>
        </w:rPr>
      </w:pPr>
      <w:r w:rsidRPr="00D81ECE">
        <w:rPr>
          <w:rFonts w:hint="eastAsia"/>
          <w:sz w:val="18"/>
          <w:szCs w:val="18"/>
        </w:rPr>
        <w:t>出典</w:t>
      </w:r>
      <w:r>
        <w:rPr>
          <w:rFonts w:hint="eastAsia"/>
          <w:sz w:val="18"/>
          <w:szCs w:val="18"/>
        </w:rPr>
        <w:t>：大阪市人口ビジョン（平成</w:t>
      </w:r>
      <w:r>
        <w:rPr>
          <w:rFonts w:hint="eastAsia"/>
          <w:sz w:val="18"/>
          <w:szCs w:val="18"/>
        </w:rPr>
        <w:t>28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AA5043" w:rsidRPr="00AA5043" w:rsidRDefault="00AA5043" w:rsidP="00AA5043">
      <w:pPr>
        <w:snapToGrid w:val="0"/>
        <w:spacing w:line="216" w:lineRule="auto"/>
        <w:rPr>
          <w:noProof/>
          <w:sz w:val="18"/>
          <w:szCs w:val="18"/>
        </w:rPr>
      </w:pPr>
      <w:r w:rsidRPr="00AA5043">
        <w:rPr>
          <w:rFonts w:hint="eastAsia"/>
          <w:noProof/>
          <w:sz w:val="18"/>
          <w:szCs w:val="18"/>
        </w:rPr>
        <w:t>（</w:t>
      </w:r>
      <w:r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注</w:t>
      </w:r>
      <w:r w:rsidRPr="00AA5043"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）年少人口：</w:t>
      </w:r>
      <w:r w:rsidRPr="00AA5043">
        <w:rPr>
          <w:rFonts w:hint="eastAsia"/>
          <w:noProof/>
          <w:sz w:val="18"/>
          <w:szCs w:val="18"/>
        </w:rPr>
        <w:t>0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14</w:t>
      </w:r>
      <w:r w:rsidRPr="00AA5043">
        <w:rPr>
          <w:rFonts w:hint="eastAsia"/>
          <w:noProof/>
          <w:sz w:val="18"/>
          <w:szCs w:val="18"/>
        </w:rPr>
        <w:t>歳、生産年齢人口：</w:t>
      </w:r>
      <w:r w:rsidRPr="00AA5043">
        <w:rPr>
          <w:rFonts w:hint="eastAsia"/>
          <w:noProof/>
          <w:sz w:val="18"/>
          <w:szCs w:val="18"/>
        </w:rPr>
        <w:t>15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64</w:t>
      </w:r>
      <w:r w:rsidRPr="00AA5043">
        <w:rPr>
          <w:rFonts w:hint="eastAsia"/>
          <w:noProof/>
          <w:sz w:val="18"/>
          <w:szCs w:val="18"/>
        </w:rPr>
        <w:t>歳、高齢者人口：</w:t>
      </w:r>
      <w:r w:rsidRPr="00AA5043">
        <w:rPr>
          <w:rFonts w:hint="eastAsia"/>
          <w:noProof/>
          <w:sz w:val="18"/>
          <w:szCs w:val="18"/>
        </w:rPr>
        <w:t>65</w:t>
      </w:r>
      <w:r w:rsidRPr="00AA5043">
        <w:rPr>
          <w:rFonts w:hint="eastAsia"/>
          <w:noProof/>
          <w:sz w:val="18"/>
          <w:szCs w:val="18"/>
        </w:rPr>
        <w:t>歳以上</w:t>
      </w:r>
    </w:p>
    <w:p w:rsidR="00D81ECE" w:rsidRPr="00AA5043" w:rsidRDefault="00AA5043" w:rsidP="00AA5043">
      <w:pPr>
        <w:snapToGrid w:val="0"/>
        <w:spacing w:line="216" w:lineRule="auto"/>
        <w:rPr>
          <w:noProof/>
          <w:sz w:val="18"/>
          <w:szCs w:val="18"/>
        </w:rPr>
      </w:pPr>
      <w:r w:rsidRPr="00AA5043">
        <w:rPr>
          <w:rFonts w:hint="eastAsia"/>
          <w:noProof/>
          <w:sz w:val="18"/>
          <w:szCs w:val="18"/>
        </w:rPr>
        <w:t>（資料）総務省「国勢調査」、大阪市「大阪市の将来推計人口（平成</w:t>
      </w:r>
      <w:r w:rsidRPr="00AA5043">
        <w:rPr>
          <w:rFonts w:hint="eastAsia"/>
          <w:noProof/>
          <w:sz w:val="18"/>
          <w:szCs w:val="18"/>
        </w:rPr>
        <w:t>26</w:t>
      </w:r>
      <w:r w:rsidRPr="00AA5043">
        <w:rPr>
          <w:rFonts w:hint="eastAsia"/>
          <w:noProof/>
          <w:sz w:val="18"/>
          <w:szCs w:val="18"/>
        </w:rPr>
        <w:t>年</w:t>
      </w:r>
      <w:r w:rsidRPr="00AA5043">
        <w:rPr>
          <w:rFonts w:hint="eastAsia"/>
          <w:noProof/>
          <w:sz w:val="18"/>
          <w:szCs w:val="18"/>
        </w:rPr>
        <w:t>8</w:t>
      </w:r>
      <w:r w:rsidRPr="00AA5043">
        <w:rPr>
          <w:rFonts w:hint="eastAsia"/>
          <w:noProof/>
          <w:sz w:val="18"/>
          <w:szCs w:val="18"/>
        </w:rPr>
        <w:t>月）</w:t>
      </w:r>
      <w:r w:rsidRPr="00AA5043"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」</w:t>
      </w:r>
    </w:p>
    <w:p w:rsidR="00D81ECE" w:rsidRPr="0046541E" w:rsidRDefault="008110C2" w:rsidP="0046541E">
      <w:pPr>
        <w:snapToGrid w:val="0"/>
        <w:spacing w:line="216" w:lineRule="auto"/>
        <w:rPr>
          <w:rFonts w:asciiTheme="minorHAnsi" w:hAnsiTheme="minorHAnsi"/>
          <w:noProof/>
          <w:sz w:val="18"/>
          <w:szCs w:val="18"/>
        </w:rPr>
      </w:pPr>
      <w:r w:rsidRPr="0046541E">
        <w:rPr>
          <w:rFonts w:ascii="ＭＳ 明朝" w:hAnsi="ＭＳ 明朝" w:cs="ＭＳ 明朝" w:hint="eastAsia"/>
          <w:color w:val="000000" w:themeColor="text1"/>
          <w:kern w:val="24"/>
          <w:sz w:val="18"/>
          <w:szCs w:val="18"/>
        </w:rPr>
        <w:t>※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2015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年の人口は、平成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27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年国勢調査人口等基本集計結果（平成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28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10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月）を反映</w:t>
      </w:r>
    </w:p>
    <w:p w:rsidR="0055150B" w:rsidRPr="0046541E" w:rsidRDefault="0055150B" w:rsidP="0055150B">
      <w:pPr>
        <w:snapToGrid w:val="0"/>
        <w:spacing w:line="216" w:lineRule="auto"/>
        <w:ind w:firstLineChars="100" w:firstLine="180"/>
        <w:rPr>
          <w:rFonts w:asciiTheme="minorHAnsi" w:hAnsiTheme="minorHAnsi"/>
          <w:noProof/>
          <w:sz w:val="18"/>
          <w:szCs w:val="18"/>
        </w:rPr>
      </w:pP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201</w:t>
      </w:r>
      <w:r w:rsidR="001E70C0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8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年の人口は、</w:t>
      </w:r>
      <w:r w:rsidRPr="0055150B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平成</w:t>
      </w:r>
      <w:r w:rsidR="001E70C0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30</w:t>
      </w:r>
      <w:r w:rsidRPr="0055150B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年大阪市推計人口年報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を反映</w:t>
      </w:r>
    </w:p>
    <w:p w:rsidR="0055150B" w:rsidRPr="0055150B" w:rsidRDefault="0055150B">
      <w:pPr>
        <w:rPr>
          <w:noProof/>
        </w:rPr>
      </w:pPr>
    </w:p>
    <w:p w:rsidR="0081225B" w:rsidRDefault="0081225B" w:rsidP="0081225B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2749DE" w:rsidRPr="002749DE">
        <w:rPr>
          <w:rFonts w:ascii="ＭＳ Ｐゴシック" w:eastAsia="ＭＳ Ｐゴシック" w:hAnsi="ＭＳ Ｐゴシック" w:hint="eastAsia"/>
          <w:b/>
        </w:rPr>
        <w:t>世帯所得の所得別世帯数</w:t>
      </w:r>
      <w:r w:rsidR="00E90F70">
        <w:rPr>
          <w:rFonts w:ascii="ＭＳ Ｐゴシック" w:eastAsia="ＭＳ Ｐゴシック" w:hAnsi="ＭＳ Ｐゴシック" w:hint="eastAsia"/>
          <w:b/>
        </w:rPr>
        <w:t>の推移</w:t>
      </w:r>
      <w:r w:rsidR="00E21F50">
        <w:rPr>
          <w:rFonts w:ascii="ＭＳ Ｐゴシック" w:eastAsia="ＭＳ Ｐゴシック" w:hAnsi="ＭＳ Ｐゴシック" w:hint="eastAsia"/>
          <w:b/>
        </w:rPr>
        <w:t>】</w:t>
      </w:r>
    </w:p>
    <w:p w:rsidR="00E90F70" w:rsidRPr="00E90F70" w:rsidRDefault="00B91AC1" w:rsidP="008B2376">
      <w:pPr>
        <w:ind w:firstLineChars="1050" w:firstLine="2214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（大阪市）　　　　　　　　　　　　　　　</w:t>
      </w:r>
      <w:r w:rsidR="008B2376">
        <w:rPr>
          <w:rFonts w:ascii="ＭＳ Ｐゴシック" w:eastAsia="ＭＳ Ｐゴシック" w:hAnsi="ＭＳ Ｐゴシック" w:hint="eastAsia"/>
          <w:b/>
        </w:rPr>
        <w:t xml:space="preserve"> </w:t>
      </w:r>
      <w:r w:rsidR="00E90F70">
        <w:rPr>
          <w:rFonts w:ascii="ＭＳ Ｐゴシック" w:eastAsia="ＭＳ Ｐゴシック" w:hAnsi="ＭＳ Ｐゴシック" w:hint="eastAsia"/>
          <w:b/>
        </w:rPr>
        <w:t>（全国）</w:t>
      </w:r>
    </w:p>
    <w:p w:rsidR="00ED0DF9" w:rsidRPr="00E90F70" w:rsidRDefault="00B91AC1" w:rsidP="00ED0DF9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C19A9" wp14:editId="06B156D8">
                <wp:simplePos x="0" y="0"/>
                <wp:positionH relativeFrom="column">
                  <wp:posOffset>3934196</wp:posOffset>
                </wp:positionH>
                <wp:positionV relativeFrom="paragraph">
                  <wp:posOffset>147320</wp:posOffset>
                </wp:positionV>
                <wp:extent cx="0" cy="2340000"/>
                <wp:effectExtent l="0" t="0" r="19050" b="2222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619CB" id="直線コネクタ 1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8pt,11.6pt" to="309.8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8A75C3" wp14:editId="3DD49BC6">
                <wp:simplePos x="0" y="0"/>
                <wp:positionH relativeFrom="column">
                  <wp:posOffset>3510053</wp:posOffset>
                </wp:positionH>
                <wp:positionV relativeFrom="paragraph">
                  <wp:posOffset>2573248</wp:posOffset>
                </wp:positionV>
                <wp:extent cx="895350" cy="4476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F70" w:rsidRPr="00477D80" w:rsidRDefault="00E90F70" w:rsidP="00E90F70">
                            <w:pPr>
                              <w:rPr>
                                <w:sz w:val="18"/>
                              </w:rPr>
                            </w:pPr>
                            <w:r w:rsidRPr="00477D80">
                              <w:rPr>
                                <w:rFonts w:hint="eastAsia"/>
                                <w:sz w:val="18"/>
                              </w:rPr>
                              <w:t>（年）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A7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76.4pt;margin-top:202.6pt;width:70.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" filled="f" stroked="f" strokeweight=".5pt">
                <v:textbox>
                  <w:txbxContent>
                    <w:p w:rsidR="00E90F70" w:rsidRPr="00477D80" w:rsidRDefault="00E90F70" w:rsidP="00E90F70">
                      <w:pPr>
                        <w:rPr>
                          <w:sz w:val="18"/>
                        </w:rPr>
                      </w:pPr>
                      <w:r w:rsidRPr="00477D80">
                        <w:rPr>
                          <w:rFonts w:hint="eastAsia"/>
                          <w:sz w:val="18"/>
                        </w:rPr>
                        <w:t>（年）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1E9532" wp14:editId="39323B45">
            <wp:extent cx="3001992" cy="2743200"/>
            <wp:effectExtent l="0" t="0" r="8255" b="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690A5" wp14:editId="656EE961">
            <wp:extent cx="2371413" cy="2743200"/>
            <wp:effectExtent l="0" t="0" r="0" b="0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749DE">
        <w:rPr>
          <w:rFonts w:hint="eastAsia"/>
          <w:sz w:val="18"/>
          <w:szCs w:val="18"/>
        </w:rPr>
        <w:t>（資料）総務省</w:t>
      </w:r>
      <w:r w:rsidR="0081225B" w:rsidRPr="00A10661">
        <w:rPr>
          <w:rFonts w:hint="eastAsia"/>
          <w:sz w:val="18"/>
          <w:szCs w:val="18"/>
        </w:rPr>
        <w:t>「</w:t>
      </w:r>
      <w:r w:rsidR="002749DE">
        <w:rPr>
          <w:rFonts w:hint="eastAsia"/>
          <w:sz w:val="18"/>
          <w:szCs w:val="18"/>
        </w:rPr>
        <w:t>就業構造基本調査</w:t>
      </w:r>
      <w:r w:rsidR="0081225B" w:rsidRPr="00A10661">
        <w:rPr>
          <w:rFonts w:hint="eastAsia"/>
          <w:sz w:val="18"/>
          <w:szCs w:val="18"/>
        </w:rPr>
        <w:t>」</w:t>
      </w:r>
    </w:p>
    <w:p w:rsidR="00CC73C1" w:rsidRPr="009F08C7" w:rsidRDefault="00CC73C1" w:rsidP="00CC73C1">
      <w:pPr>
        <w:widowControl/>
        <w:jc w:val="left"/>
        <w:rPr>
          <w:color w:val="222222"/>
          <w:sz w:val="18"/>
          <w:szCs w:val="18"/>
        </w:rPr>
      </w:pPr>
    </w:p>
    <w:sectPr w:rsidR="00CC73C1" w:rsidRPr="009F08C7" w:rsidSect="00F74951">
      <w:footerReference w:type="default" r:id="rId10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0B" w:rsidRDefault="003E650B" w:rsidP="00B905B2">
      <w:r>
        <w:separator/>
      </w:r>
    </w:p>
  </w:endnote>
  <w:endnote w:type="continuationSeparator" w:id="0">
    <w:p w:rsidR="003E650B" w:rsidRDefault="003E650B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CC73C1">
          <w:rPr>
            <w:rFonts w:asciiTheme="minorEastAsia" w:eastAsiaTheme="minorEastAsia" w:hAnsiTheme="minorEastAsia" w:hint="eastAsia"/>
            <w:sz w:val="20"/>
            <w:szCs w:val="20"/>
          </w:rPr>
          <w:t>2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0B" w:rsidRDefault="003E650B" w:rsidP="00B905B2">
      <w:r>
        <w:separator/>
      </w:r>
    </w:p>
  </w:footnote>
  <w:footnote w:type="continuationSeparator" w:id="0">
    <w:p w:rsidR="003E650B" w:rsidRDefault="003E650B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E70C0"/>
    <w:rsid w:val="001F159A"/>
    <w:rsid w:val="001F5988"/>
    <w:rsid w:val="001F7CE9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112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50B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705060"/>
    <w:rsid w:val="007062D3"/>
    <w:rsid w:val="00715C78"/>
    <w:rsid w:val="0071601D"/>
    <w:rsid w:val="0071764C"/>
    <w:rsid w:val="00720ACB"/>
    <w:rsid w:val="007268A3"/>
    <w:rsid w:val="00733837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F0FA0"/>
    <w:rsid w:val="007F43C5"/>
    <w:rsid w:val="008110C2"/>
    <w:rsid w:val="0081225B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10C"/>
    <w:rsid w:val="008972F0"/>
    <w:rsid w:val="008B1B20"/>
    <w:rsid w:val="008B20E2"/>
    <w:rsid w:val="008B2376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3D07"/>
    <w:rsid w:val="00AA5043"/>
    <w:rsid w:val="00AA604B"/>
    <w:rsid w:val="00AD6EB4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5B2"/>
    <w:rsid w:val="00B90AA8"/>
    <w:rsid w:val="00B91273"/>
    <w:rsid w:val="00B91AC1"/>
    <w:rsid w:val="00B97315"/>
    <w:rsid w:val="00BB4C4F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37891"/>
    <w:rsid w:val="00C41FBD"/>
    <w:rsid w:val="00C45B69"/>
    <w:rsid w:val="00C73868"/>
    <w:rsid w:val="00C80A16"/>
    <w:rsid w:val="00CA5197"/>
    <w:rsid w:val="00CB2492"/>
    <w:rsid w:val="00CB5EA5"/>
    <w:rsid w:val="00CC2307"/>
    <w:rsid w:val="00CC73C1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3825"/>
    <w:rsid w:val="00D52409"/>
    <w:rsid w:val="00D81ECE"/>
    <w:rsid w:val="00D945E5"/>
    <w:rsid w:val="00DA17D8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21F50"/>
    <w:rsid w:val="00E44615"/>
    <w:rsid w:val="00E515F5"/>
    <w:rsid w:val="00E55AFD"/>
    <w:rsid w:val="00E7224D"/>
    <w:rsid w:val="00E74897"/>
    <w:rsid w:val="00E77089"/>
    <w:rsid w:val="00E85076"/>
    <w:rsid w:val="00E90F70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B720B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15507436570427"/>
          <c:y val="5.1400554097404488E-2"/>
          <c:w val="0.85683810560001761"/>
          <c:h val="0.8557677165354330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'図表-03（給与）'!$B$167</c:f>
              <c:strCache>
                <c:ptCount val="1"/>
                <c:pt idx="0">
                  <c:v>200万円未満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5555555555560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'図表-03（給与）'!$D$166:$F$166</c:f>
              <c:numCache>
                <c:formatCode>General</c:formatCode>
                <c:ptCount val="3"/>
                <c:pt idx="0">
                  <c:v>2007</c:v>
                </c:pt>
                <c:pt idx="1">
                  <c:v>2012</c:v>
                </c:pt>
                <c:pt idx="2">
                  <c:v>2017</c:v>
                </c:pt>
              </c:numCache>
            </c:numRef>
          </c:cat>
          <c:val>
            <c:numRef>
              <c:f>'図表-03（給与）'!$D$167:$F$167</c:f>
              <c:numCache>
                <c:formatCode>#,##0.0;[Red]\-#,##0.0</c:formatCode>
                <c:ptCount val="3"/>
                <c:pt idx="0">
                  <c:v>28.93376798918661</c:v>
                </c:pt>
                <c:pt idx="1">
                  <c:v>31.041136065447251</c:v>
                </c:pt>
                <c:pt idx="2">
                  <c:v>28.419714307082494</c:v>
                </c:pt>
              </c:numCache>
            </c:numRef>
          </c:val>
        </c:ser>
        <c:ser>
          <c:idx val="1"/>
          <c:order val="1"/>
          <c:tx>
            <c:strRef>
              <c:f>'図表-03（給与）'!$B$168</c:f>
              <c:strCache>
                <c:ptCount val="1"/>
                <c:pt idx="0">
                  <c:v>200万円以上-400万円未満</c:v>
                </c:pt>
              </c:strCache>
            </c:strRef>
          </c:tx>
          <c:spPr>
            <a:pattFill prst="dotDmnd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82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'図表-03（給与）'!$D$166:$F$166</c:f>
              <c:numCache>
                <c:formatCode>General</c:formatCode>
                <c:ptCount val="3"/>
                <c:pt idx="0">
                  <c:v>2007</c:v>
                </c:pt>
                <c:pt idx="1">
                  <c:v>2012</c:v>
                </c:pt>
                <c:pt idx="2">
                  <c:v>2017</c:v>
                </c:pt>
              </c:numCache>
            </c:numRef>
          </c:cat>
          <c:val>
            <c:numRef>
              <c:f>'図表-03（給与）'!$D$168:$F$168</c:f>
              <c:numCache>
                <c:formatCode>#,##0.0;[Red]\-#,##0.0</c:formatCode>
                <c:ptCount val="3"/>
                <c:pt idx="0">
                  <c:v>29.172298640375288</c:v>
                </c:pt>
                <c:pt idx="1">
                  <c:v>31.951840703866637</c:v>
                </c:pt>
                <c:pt idx="2">
                  <c:v>30.857826639742726</c:v>
                </c:pt>
              </c:numCache>
            </c:numRef>
          </c:val>
        </c:ser>
        <c:ser>
          <c:idx val="2"/>
          <c:order val="2"/>
          <c:tx>
            <c:strRef>
              <c:f>'図表-03（給与）'!$B$169</c:f>
              <c:strCache>
                <c:ptCount val="1"/>
                <c:pt idx="0">
                  <c:v>400万円以上-600万円未満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'図表-03（給与）'!$D$166:$F$166</c:f>
              <c:numCache>
                <c:formatCode>General</c:formatCode>
                <c:ptCount val="3"/>
                <c:pt idx="0">
                  <c:v>2007</c:v>
                </c:pt>
                <c:pt idx="1">
                  <c:v>2012</c:v>
                </c:pt>
                <c:pt idx="2">
                  <c:v>2017</c:v>
                </c:pt>
              </c:numCache>
            </c:numRef>
          </c:cat>
          <c:val>
            <c:numRef>
              <c:f>'図表-03（給与）'!$D$169:$F$169</c:f>
              <c:numCache>
                <c:formatCode>#,##0.0;[Red]\-#,##0.0</c:formatCode>
                <c:ptCount val="3"/>
                <c:pt idx="0">
                  <c:v>18.398664228353343</c:v>
                </c:pt>
                <c:pt idx="1">
                  <c:v>16.639654240950836</c:v>
                </c:pt>
                <c:pt idx="2">
                  <c:v>17.186448283598832</c:v>
                </c:pt>
              </c:numCache>
            </c:numRef>
          </c:val>
        </c:ser>
        <c:ser>
          <c:idx val="3"/>
          <c:order val="3"/>
          <c:tx>
            <c:strRef>
              <c:f>'図表-03（給与）'!$B$170</c:f>
              <c:strCache>
                <c:ptCount val="1"/>
                <c:pt idx="0">
                  <c:v>600万円以上-800万円未満</c:v>
                </c:pt>
              </c:strCache>
            </c:strRef>
          </c:tx>
          <c:spPr>
            <a:solidFill>
              <a:schemeClr val="bg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'図表-03（給与）'!$D$166:$F$166</c:f>
              <c:numCache>
                <c:formatCode>General</c:formatCode>
                <c:ptCount val="3"/>
                <c:pt idx="0">
                  <c:v>2007</c:v>
                </c:pt>
                <c:pt idx="1">
                  <c:v>2012</c:v>
                </c:pt>
                <c:pt idx="2">
                  <c:v>2017</c:v>
                </c:pt>
              </c:numCache>
            </c:numRef>
          </c:cat>
          <c:val>
            <c:numRef>
              <c:f>'図表-03（給与）'!$D$170:$F$170</c:f>
              <c:numCache>
                <c:formatCode>#,##0.0;[Red]\-#,##0.0</c:formatCode>
                <c:ptCount val="3"/>
                <c:pt idx="0">
                  <c:v>10.558956825952134</c:v>
                </c:pt>
                <c:pt idx="1">
                  <c:v>9.840240796480666</c:v>
                </c:pt>
                <c:pt idx="2">
                  <c:v>10.238576022735771</c:v>
                </c:pt>
              </c:numCache>
            </c:numRef>
          </c:val>
        </c:ser>
        <c:ser>
          <c:idx val="4"/>
          <c:order val="4"/>
          <c:tx>
            <c:strRef>
              <c:f>'図表-03（給与）'!$B$171</c:f>
              <c:strCache>
                <c:ptCount val="1"/>
                <c:pt idx="0">
                  <c:v>800万円以上-1000万円未満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'図表-03（給与）'!$D$166:$F$166</c:f>
              <c:numCache>
                <c:formatCode>General</c:formatCode>
                <c:ptCount val="3"/>
                <c:pt idx="0">
                  <c:v>2007</c:v>
                </c:pt>
                <c:pt idx="1">
                  <c:v>2012</c:v>
                </c:pt>
                <c:pt idx="2">
                  <c:v>2017</c:v>
                </c:pt>
              </c:numCache>
            </c:numRef>
          </c:cat>
          <c:val>
            <c:numRef>
              <c:f>'図表-03（給与）'!$D$171:$F$171</c:f>
              <c:numCache>
                <c:formatCode>#,##0.0;[Red]\-#,##0.0</c:formatCode>
                <c:ptCount val="3"/>
                <c:pt idx="0">
                  <c:v>5.5657151944024807</c:v>
                </c:pt>
                <c:pt idx="1">
                  <c:v>4.8776723006868874</c:v>
                </c:pt>
                <c:pt idx="2">
                  <c:v>5.9756188766733978</c:v>
                </c:pt>
              </c:numCache>
            </c:numRef>
          </c:val>
        </c:ser>
        <c:ser>
          <c:idx val="5"/>
          <c:order val="5"/>
          <c:tx>
            <c:strRef>
              <c:f>'図表-03（給与）'!$B$172</c:f>
              <c:strCache>
                <c:ptCount val="1"/>
                <c:pt idx="0">
                  <c:v>1000万円以上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'図表-03（給与）'!$D$166:$F$166</c:f>
              <c:numCache>
                <c:formatCode>General</c:formatCode>
                <c:ptCount val="3"/>
                <c:pt idx="0">
                  <c:v>2007</c:v>
                </c:pt>
                <c:pt idx="1">
                  <c:v>2012</c:v>
                </c:pt>
                <c:pt idx="2">
                  <c:v>2017</c:v>
                </c:pt>
              </c:numCache>
            </c:numRef>
          </c:cat>
          <c:val>
            <c:numRef>
              <c:f>'図表-03（給与）'!$D$172:$F$172</c:f>
              <c:numCache>
                <c:formatCode>#,##0.0;[Red]\-#,##0.0</c:formatCode>
                <c:ptCount val="3"/>
                <c:pt idx="0">
                  <c:v>7.3705971217301425</c:v>
                </c:pt>
                <c:pt idx="1">
                  <c:v>5.6494558925677243</c:v>
                </c:pt>
                <c:pt idx="2">
                  <c:v>7.3218158701667786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7"/>
        <c:overlap val="100"/>
        <c:serLines>
          <c:spPr>
            <a:ln>
              <a:prstDash val="sysDot"/>
            </a:ln>
          </c:spPr>
        </c:serLines>
        <c:axId val="277291408"/>
        <c:axId val="277291800"/>
      </c:barChart>
      <c:catAx>
        <c:axId val="27729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ja-JP"/>
          </a:p>
        </c:txPr>
        <c:crossAx val="277291800"/>
        <c:crosses val="autoZero"/>
        <c:auto val="1"/>
        <c:lblAlgn val="ctr"/>
        <c:lblOffset val="100"/>
        <c:noMultiLvlLbl val="0"/>
      </c:catAx>
      <c:valAx>
        <c:axId val="277291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spPr>
          <a:ln w="3175">
            <a:prstDash val="sysDot"/>
          </a:ln>
        </c:spPr>
        <c:txPr>
          <a:bodyPr/>
          <a:lstStyle/>
          <a:p>
            <a:pPr>
              <a:defRPr sz="800"/>
            </a:pPr>
            <a:endParaRPr lang="ja-JP"/>
          </a:p>
        </c:txPr>
        <c:crossAx val="277291408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742985040502352E-2"/>
          <c:y val="5.1400554097404488E-2"/>
          <c:w val="0.36201021634012753"/>
          <c:h val="0.85576771653543304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'図表-03（給与）'!$H$167:$I$167</c:f>
              <c:strCache>
                <c:ptCount val="2"/>
                <c:pt idx="0">
                  <c:v>200万円未満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'図表-03（給与）'!$J$166:$M$166</c:f>
              <c:numCache>
                <c:formatCode>General</c:formatCode>
                <c:ptCount val="1"/>
                <c:pt idx="0">
                  <c:v>2017</c:v>
                </c:pt>
              </c:numCache>
            </c:numRef>
          </c:cat>
          <c:val>
            <c:numRef>
              <c:f>'図表-03（給与）'!$J$167:$M$167</c:f>
              <c:numCache>
                <c:formatCode>#,##0.0;[Red]\-#,##0.0</c:formatCode>
                <c:ptCount val="1"/>
                <c:pt idx="0">
                  <c:v>21.201474473690634</c:v>
                </c:pt>
              </c:numCache>
            </c:numRef>
          </c:val>
          <c:extLst/>
        </c:ser>
        <c:ser>
          <c:idx val="1"/>
          <c:order val="1"/>
          <c:tx>
            <c:strRef>
              <c:f>'図表-03（給与）'!$H$168:$I$168</c:f>
              <c:strCache>
                <c:ptCount val="2"/>
                <c:pt idx="0">
                  <c:v>200万円以上-400万円未満</c:v>
                </c:pt>
              </c:strCache>
            </c:strRef>
          </c:tx>
          <c:spPr>
            <a:pattFill prst="dotDmnd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'図表-03（給与）'!$J$166:$M$166</c:f>
              <c:numCache>
                <c:formatCode>General</c:formatCode>
                <c:ptCount val="1"/>
                <c:pt idx="0">
                  <c:v>2017</c:v>
                </c:pt>
              </c:numCache>
            </c:numRef>
          </c:cat>
          <c:val>
            <c:numRef>
              <c:f>'図表-03（給与）'!$J$168:$M$168</c:f>
              <c:numCache>
                <c:formatCode>#,##0.0;[Red]\-#,##0.0</c:formatCode>
                <c:ptCount val="1"/>
                <c:pt idx="0">
                  <c:v>28.389064257533391</c:v>
                </c:pt>
              </c:numCache>
            </c:numRef>
          </c:val>
          <c:extLst/>
        </c:ser>
        <c:ser>
          <c:idx val="2"/>
          <c:order val="2"/>
          <c:tx>
            <c:strRef>
              <c:f>'図表-03（給与）'!$H$169:$I$169</c:f>
              <c:strCache>
                <c:ptCount val="2"/>
                <c:pt idx="0">
                  <c:v>400万円以上-600万円未満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'図表-03（給与）'!$J$166:$M$166</c:f>
              <c:numCache>
                <c:formatCode>General</c:formatCode>
                <c:ptCount val="1"/>
                <c:pt idx="0">
                  <c:v>2017</c:v>
                </c:pt>
              </c:numCache>
            </c:numRef>
          </c:cat>
          <c:val>
            <c:numRef>
              <c:f>'図表-03（給与）'!$J$169:$M$169</c:f>
              <c:numCache>
                <c:formatCode>#,##0.0;[Red]\-#,##0.0</c:formatCode>
                <c:ptCount val="1"/>
                <c:pt idx="0">
                  <c:v>19.606068401908626</c:v>
                </c:pt>
              </c:numCache>
            </c:numRef>
          </c:val>
        </c:ser>
        <c:ser>
          <c:idx val="3"/>
          <c:order val="3"/>
          <c:tx>
            <c:strRef>
              <c:f>'図表-03（給与）'!$H$170:$I$170</c:f>
              <c:strCache>
                <c:ptCount val="2"/>
                <c:pt idx="0">
                  <c:v>600万円以上-800万円未満</c:v>
                </c:pt>
              </c:strCache>
            </c:strRef>
          </c:tx>
          <c:spPr>
            <a:solidFill>
              <a:schemeClr val="bg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'図表-03（給与）'!$J$166:$M$166</c:f>
              <c:numCache>
                <c:formatCode>General</c:formatCode>
                <c:ptCount val="1"/>
                <c:pt idx="0">
                  <c:v>2017</c:v>
                </c:pt>
              </c:numCache>
            </c:numRef>
          </c:cat>
          <c:val>
            <c:numRef>
              <c:f>'図表-03（給与）'!$J$170:$M$170</c:f>
              <c:numCache>
                <c:formatCode>#,##0.0;[Red]\-#,##0.0</c:formatCode>
                <c:ptCount val="1"/>
                <c:pt idx="0">
                  <c:v>12.772825517483554</c:v>
                </c:pt>
              </c:numCache>
            </c:numRef>
          </c:val>
        </c:ser>
        <c:ser>
          <c:idx val="4"/>
          <c:order val="4"/>
          <c:tx>
            <c:strRef>
              <c:f>'図表-03（給与）'!$H$171:$I$171</c:f>
              <c:strCache>
                <c:ptCount val="2"/>
                <c:pt idx="0">
                  <c:v>800万円以上-1000万円未満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'図表-03（給与）'!$J$166:$M$166</c:f>
              <c:numCache>
                <c:formatCode>General</c:formatCode>
                <c:ptCount val="1"/>
                <c:pt idx="0">
                  <c:v>2017</c:v>
                </c:pt>
              </c:numCache>
            </c:numRef>
          </c:cat>
          <c:val>
            <c:numRef>
              <c:f>'図表-03（給与）'!$J$171:$M$171</c:f>
              <c:numCache>
                <c:formatCode>#,##0.0;[Red]\-#,##0.0</c:formatCode>
                <c:ptCount val="1"/>
                <c:pt idx="0">
                  <c:v>7.94736061322482</c:v>
                </c:pt>
              </c:numCache>
            </c:numRef>
          </c:val>
        </c:ser>
        <c:ser>
          <c:idx val="5"/>
          <c:order val="5"/>
          <c:tx>
            <c:strRef>
              <c:f>'図表-03（給与）'!$H$172:$I$172</c:f>
              <c:strCache>
                <c:ptCount val="2"/>
                <c:pt idx="0">
                  <c:v>1000万円以上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'図表-03（給与）'!$J$166:$M$166</c:f>
              <c:numCache>
                <c:formatCode>General</c:formatCode>
                <c:ptCount val="1"/>
                <c:pt idx="0">
                  <c:v>2017</c:v>
                </c:pt>
              </c:numCache>
            </c:numRef>
          </c:cat>
          <c:val>
            <c:numRef>
              <c:f>'図表-03（給与）'!$J$172:$M$172</c:f>
              <c:numCache>
                <c:formatCode>#,##0.0;[Red]\-#,##0.0</c:formatCode>
                <c:ptCount val="1"/>
                <c:pt idx="0">
                  <c:v>10.083206736158971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7"/>
        <c:overlap val="100"/>
        <c:serLines>
          <c:spPr>
            <a:ln>
              <a:prstDash val="sysDot"/>
            </a:ln>
          </c:spPr>
        </c:serLines>
        <c:axId val="277292976"/>
        <c:axId val="277285528"/>
      </c:barChart>
      <c:catAx>
        <c:axId val="27729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ja-JP"/>
          </a:p>
        </c:txPr>
        <c:crossAx val="277285528"/>
        <c:crosses val="autoZero"/>
        <c:auto val="1"/>
        <c:lblAlgn val="ctr"/>
        <c:lblOffset val="100"/>
        <c:noMultiLvlLbl val="0"/>
      </c:catAx>
      <c:valAx>
        <c:axId val="27728552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277292976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50597116400896092"/>
          <c:y val="8.2339967920676577E-2"/>
          <c:w val="0.44629442072308584"/>
          <c:h val="0.85569043452901716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76B49-6086-4569-A3C4-6E55AB46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2019-02-08T05:50:00Z</dcterms:created>
  <dcterms:modified xsi:type="dcterms:W3CDTF">2019-02-08T05:50:00Z</dcterms:modified>
</cp:coreProperties>
</file>