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932" w:rsidRDefault="00201932" w:rsidP="00201932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【域内総生産（ＧＤＰ：名目）の</w:t>
      </w:r>
      <w:r w:rsidRPr="008E5396">
        <w:rPr>
          <w:rFonts w:ascii="ＭＳ Ｐゴシック" w:eastAsia="ＭＳ Ｐゴシック" w:hAnsi="ＭＳ Ｐゴシック" w:hint="eastAsia"/>
          <w:b/>
        </w:rPr>
        <w:t>推移】</w:t>
      </w:r>
    </w:p>
    <w:p w:rsidR="00201932" w:rsidRDefault="00201932" w:rsidP="00201932">
      <w:r>
        <w:rPr>
          <w:rFonts w:hint="eastAsia"/>
        </w:rPr>
        <w:t>（</w:t>
      </w:r>
      <w:r>
        <w:rPr>
          <w:rFonts w:hint="eastAsia"/>
        </w:rPr>
        <w:t>2006</w:t>
      </w:r>
      <w:r>
        <w:rPr>
          <w:rFonts w:hint="eastAsia"/>
        </w:rPr>
        <w:t>年度を</w:t>
      </w:r>
      <w:r>
        <w:rPr>
          <w:rFonts w:hint="eastAsia"/>
        </w:rPr>
        <w:t>100</w:t>
      </w:r>
      <w:r>
        <w:rPr>
          <w:rFonts w:hint="eastAsia"/>
        </w:rPr>
        <w:t>とした場合）</w:t>
      </w:r>
    </w:p>
    <w:p w:rsidR="00201932" w:rsidRDefault="0070500C" w:rsidP="0020193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60946AC" wp14:editId="1CE8FAD8">
                <wp:simplePos x="0" y="0"/>
                <wp:positionH relativeFrom="column">
                  <wp:posOffset>5074920</wp:posOffset>
                </wp:positionH>
                <wp:positionV relativeFrom="paragraph">
                  <wp:posOffset>2818765</wp:posOffset>
                </wp:positionV>
                <wp:extent cx="647700" cy="28956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00C" w:rsidRPr="0070500C" w:rsidRDefault="0070500C" w:rsidP="0070500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平成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30)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946AC" id="テキスト ボックス 30" o:spid="_x0000_s1056" type="#_x0000_t202" style="position:absolute;left:0;text-align:left;margin-left:399.6pt;margin-top:221.95pt;width:51pt;height:22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" filled="f" stroked="f" strokeweight=".5pt">
                <v:textbox>
                  <w:txbxContent>
                    <w:p w:rsidR="0070500C" w:rsidRPr="0070500C" w:rsidRDefault="0070500C" w:rsidP="0070500C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平成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30)</w:t>
                      </w:r>
                    </w:p>
                  </w:txbxContent>
                </v:textbox>
              </v:shape>
            </w:pict>
          </mc:Fallback>
        </mc:AlternateContent>
      </w:r>
      <w:r w:rsidR="00201932">
        <w:rPr>
          <w:noProof/>
        </w:rPr>
        <w:drawing>
          <wp:inline distT="0" distB="0" distL="0" distR="0" wp14:anchorId="4CD6CFFD" wp14:editId="67F6085B">
            <wp:extent cx="5996940" cy="2971800"/>
            <wp:effectExtent l="0" t="0" r="3810" b="0"/>
            <wp:docPr id="11" name="グラフ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01932" w:rsidRPr="00844C89" w:rsidRDefault="00201932" w:rsidP="00201932">
      <w:pPr>
        <w:rPr>
          <w:sz w:val="18"/>
          <w:szCs w:val="18"/>
        </w:rPr>
      </w:pPr>
      <w:r w:rsidRPr="00844C89">
        <w:rPr>
          <w:rFonts w:hint="eastAsia"/>
          <w:sz w:val="18"/>
          <w:szCs w:val="18"/>
        </w:rPr>
        <w:t>（資料）内閣府</w:t>
      </w:r>
      <w:r>
        <w:rPr>
          <w:rFonts w:hint="eastAsia"/>
          <w:sz w:val="18"/>
          <w:szCs w:val="18"/>
        </w:rPr>
        <w:t>「国民経済計算」</w:t>
      </w:r>
      <w:r w:rsidRPr="00844C89">
        <w:rPr>
          <w:rFonts w:hint="eastAsia"/>
          <w:sz w:val="18"/>
          <w:szCs w:val="18"/>
        </w:rPr>
        <w:t>「</w:t>
      </w:r>
      <w:r>
        <w:rPr>
          <w:rFonts w:hint="eastAsia"/>
          <w:sz w:val="18"/>
          <w:szCs w:val="18"/>
        </w:rPr>
        <w:t>県民</w:t>
      </w:r>
      <w:r w:rsidRPr="00844C89">
        <w:rPr>
          <w:rFonts w:hint="eastAsia"/>
          <w:sz w:val="18"/>
          <w:szCs w:val="18"/>
        </w:rPr>
        <w:t>経済計算」</w:t>
      </w:r>
    </w:p>
    <w:p w:rsidR="00201932" w:rsidRDefault="00201932" w:rsidP="00201932">
      <w:pPr>
        <w:rPr>
          <w:sz w:val="18"/>
          <w:szCs w:val="18"/>
        </w:rPr>
      </w:pPr>
      <w:r w:rsidRPr="009B3BA1">
        <w:rPr>
          <w:rFonts w:hint="eastAsia"/>
          <w:sz w:val="18"/>
          <w:szCs w:val="18"/>
        </w:rPr>
        <w:t xml:space="preserve">　※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2016</w:t>
      </w:r>
      <w:r>
        <w:rPr>
          <w:rFonts w:hint="eastAsia"/>
          <w:sz w:val="18"/>
          <w:szCs w:val="18"/>
        </w:rPr>
        <w:t>・</w:t>
      </w:r>
      <w:r>
        <w:rPr>
          <w:sz w:val="18"/>
          <w:szCs w:val="18"/>
        </w:rPr>
        <w:t>2017</w:t>
      </w:r>
      <w:r>
        <w:rPr>
          <w:rFonts w:hint="eastAsia"/>
          <w:sz w:val="18"/>
          <w:szCs w:val="18"/>
        </w:rPr>
        <w:t>年度の市内総生産（大阪市）は、平成</w:t>
      </w:r>
      <w:r>
        <w:rPr>
          <w:rFonts w:hint="eastAsia"/>
          <w:sz w:val="18"/>
          <w:szCs w:val="18"/>
        </w:rPr>
        <w:t>29</w:t>
      </w:r>
      <w:r>
        <w:rPr>
          <w:rFonts w:hint="eastAsia"/>
          <w:sz w:val="18"/>
          <w:szCs w:val="18"/>
        </w:rPr>
        <w:t>年度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大阪市民経済計算（早期推計）を反映</w:t>
      </w:r>
    </w:p>
    <w:p w:rsidR="00201932" w:rsidRPr="00201932" w:rsidRDefault="00201932" w:rsidP="0088638E">
      <w:pPr>
        <w:rPr>
          <w:rFonts w:ascii="ＭＳ Ｐゴシック" w:eastAsia="ＭＳ Ｐゴシック" w:hAnsi="ＭＳ Ｐゴシック"/>
          <w:b/>
        </w:rPr>
      </w:pPr>
    </w:p>
    <w:p w:rsidR="0088638E" w:rsidRDefault="0088638E" w:rsidP="0088638E">
      <w:pPr>
        <w:rPr>
          <w:rFonts w:ascii="ＭＳ Ｐゴシック" w:eastAsia="ＭＳ Ｐゴシック" w:hAnsi="ＭＳ Ｐゴシック"/>
          <w:b/>
        </w:rPr>
      </w:pPr>
      <w:r w:rsidRPr="00BB4C4F">
        <w:rPr>
          <w:rFonts w:ascii="ＭＳ Ｐゴシック" w:eastAsia="ＭＳ Ｐゴシック" w:hAnsi="ＭＳ Ｐゴシック" w:hint="eastAsia"/>
          <w:b/>
        </w:rPr>
        <w:t>【</w:t>
      </w:r>
      <w:r w:rsidR="00FB002E" w:rsidRPr="00FB002E">
        <w:rPr>
          <w:rFonts w:ascii="ＭＳ Ｐゴシック" w:eastAsia="ＭＳ Ｐゴシック" w:hAnsi="ＭＳ Ｐゴシック" w:hint="eastAsia"/>
          <w:b/>
        </w:rPr>
        <w:t>業況判断DI</w:t>
      </w:r>
      <w:r w:rsidR="008F234C">
        <w:rPr>
          <w:rFonts w:ascii="ＭＳ Ｐゴシック" w:eastAsia="ＭＳ Ｐゴシック" w:hAnsi="ＭＳ Ｐゴシック" w:hint="eastAsia"/>
          <w:b/>
        </w:rPr>
        <w:t>の推移</w:t>
      </w:r>
      <w:r w:rsidRPr="00BB4C4F">
        <w:rPr>
          <w:rFonts w:ascii="ＭＳ Ｐゴシック" w:eastAsia="ＭＳ Ｐゴシック" w:hAnsi="ＭＳ Ｐゴシック" w:hint="eastAsia"/>
          <w:b/>
        </w:rPr>
        <w:t>】</w:t>
      </w:r>
      <w:r w:rsidR="00FB002E">
        <w:rPr>
          <w:rFonts w:ascii="ＭＳ Ｐゴシック" w:eastAsia="ＭＳ Ｐゴシック" w:hAnsi="ＭＳ Ｐゴシック" w:hint="eastAsia"/>
          <w:b/>
        </w:rPr>
        <w:t>（大阪市）</w:t>
      </w:r>
      <w:bookmarkStart w:id="0" w:name="_GoBack"/>
      <w:bookmarkEnd w:id="0"/>
    </w:p>
    <w:p w:rsidR="0088638E" w:rsidRPr="0088638E" w:rsidRDefault="006E359B">
      <w:pPr>
        <w:rPr>
          <w:noProof/>
        </w:rPr>
      </w:pPr>
      <w:r>
        <w:rPr>
          <w:noProof/>
        </w:rPr>
        <w:drawing>
          <wp:inline distT="0" distB="0" distL="0" distR="0" wp14:anchorId="6CF05D88" wp14:editId="6052A1D6">
            <wp:extent cx="5556201" cy="3230880"/>
            <wp:effectExtent l="0" t="0" r="6985" b="762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B002E" w:rsidRPr="00844C89" w:rsidRDefault="00C91F7A" w:rsidP="00FB002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（資料）大阪市「景気観測調査」</w:t>
      </w:r>
    </w:p>
    <w:p w:rsidR="003F7635" w:rsidRDefault="003F7635" w:rsidP="000F4A31">
      <w:pPr>
        <w:snapToGrid w:val="0"/>
        <w:spacing w:line="228" w:lineRule="auto"/>
        <w:ind w:left="360" w:hangingChars="200" w:hanging="360"/>
        <w:rPr>
          <w:rFonts w:asciiTheme="minorEastAsia" w:eastAsiaTheme="minorEastAsia" w:hAnsiTheme="minorEastAsia" w:cstheme="minorBidi"/>
          <w:color w:val="000000" w:themeColor="text1"/>
          <w:kern w:val="24"/>
          <w:sz w:val="18"/>
          <w:szCs w:val="18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 xml:space="preserve">　※　DIは「上昇又は増加等企業割合(%)」から「下降又は減少等企業割合(%)」を差し引いたもので、プラスは上昇・増加・黒字基調・順調等の企業割合が上回り、マイナスは下降・減少・赤字基調・窮屈等の企業割合が上回ったことを示す。</w:t>
      </w:r>
      <w:r w:rsidRPr="00D81EC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 xml:space="preserve"> </w:t>
      </w:r>
    </w:p>
    <w:sectPr w:rsidR="003F7635" w:rsidSect="00F74951">
      <w:footerReference w:type="default" r:id="rId9"/>
      <w:pgSz w:w="11906" w:h="16838"/>
      <w:pgMar w:top="1985" w:right="1701" w:bottom="1560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AA6" w:rsidRDefault="00426AA6" w:rsidP="00B905B2">
      <w:r>
        <w:separator/>
      </w:r>
    </w:p>
  </w:endnote>
  <w:endnote w:type="continuationSeparator" w:id="0">
    <w:p w:rsidR="00426AA6" w:rsidRDefault="00426AA6" w:rsidP="00B9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B9" w:rsidRDefault="005A2FB9">
    <w:pPr>
      <w:pStyle w:val="a5"/>
      <w:jc w:val="center"/>
    </w:pPr>
    <w:r w:rsidRPr="009F1C6B">
      <w:rPr>
        <w:rFonts w:asciiTheme="minorEastAsia" w:eastAsiaTheme="minorEastAsia" w:hAnsiTheme="minorEastAsia" w:hint="eastAsia"/>
        <w:sz w:val="20"/>
        <w:szCs w:val="20"/>
      </w:rPr>
      <w:t>参考資料</w:t>
    </w:r>
    <w:sdt>
      <w:sdtPr>
        <w:rPr>
          <w:rFonts w:asciiTheme="minorEastAsia" w:eastAsiaTheme="minorEastAsia" w:hAnsiTheme="minorEastAsia"/>
          <w:sz w:val="20"/>
          <w:szCs w:val="20"/>
        </w:rPr>
        <w:id w:val="8354494"/>
        <w:docPartObj>
          <w:docPartGallery w:val="Page Numbers (Bottom of Page)"/>
          <w:docPartUnique/>
        </w:docPartObj>
      </w:sdtPr>
      <w:sdtEndPr>
        <w:rPr>
          <w:rFonts w:ascii="Century" w:eastAsia="ＭＳ 明朝" w:hAnsi="Century"/>
          <w:sz w:val="21"/>
          <w:szCs w:val="24"/>
        </w:rPr>
      </w:sdtEndPr>
      <w:sdtContent>
        <w:r w:rsidR="00A66D19">
          <w:rPr>
            <w:rFonts w:asciiTheme="minorEastAsia" w:eastAsiaTheme="minorEastAsia" w:hAnsiTheme="minorEastAsia" w:hint="eastAsia"/>
            <w:sz w:val="20"/>
            <w:szCs w:val="20"/>
          </w:rPr>
          <w:t>6</w:t>
        </w:r>
      </w:sdtContent>
    </w:sdt>
  </w:p>
  <w:p w:rsidR="005A2FB9" w:rsidRDefault="005A2F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AA6" w:rsidRDefault="00426AA6" w:rsidP="00B905B2">
      <w:r>
        <w:separator/>
      </w:r>
    </w:p>
  </w:footnote>
  <w:footnote w:type="continuationSeparator" w:id="0">
    <w:p w:rsidR="00426AA6" w:rsidRDefault="00426AA6" w:rsidP="00B90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73"/>
    <w:rsid w:val="00005DE5"/>
    <w:rsid w:val="00006FCF"/>
    <w:rsid w:val="00012596"/>
    <w:rsid w:val="000242F8"/>
    <w:rsid w:val="00033EBB"/>
    <w:rsid w:val="000341AB"/>
    <w:rsid w:val="0004387D"/>
    <w:rsid w:val="0005049B"/>
    <w:rsid w:val="0005143A"/>
    <w:rsid w:val="0006721B"/>
    <w:rsid w:val="000712D3"/>
    <w:rsid w:val="000749FE"/>
    <w:rsid w:val="00077A95"/>
    <w:rsid w:val="00087A54"/>
    <w:rsid w:val="000A2390"/>
    <w:rsid w:val="000A2A9B"/>
    <w:rsid w:val="000A6DE6"/>
    <w:rsid w:val="000C0BE6"/>
    <w:rsid w:val="000C1DF2"/>
    <w:rsid w:val="000C503E"/>
    <w:rsid w:val="000D466F"/>
    <w:rsid w:val="000D67C5"/>
    <w:rsid w:val="000F4A31"/>
    <w:rsid w:val="001032E4"/>
    <w:rsid w:val="00124901"/>
    <w:rsid w:val="0012652A"/>
    <w:rsid w:val="00127BBC"/>
    <w:rsid w:val="00157E37"/>
    <w:rsid w:val="00183E18"/>
    <w:rsid w:val="00186D02"/>
    <w:rsid w:val="001A1690"/>
    <w:rsid w:val="001A34DD"/>
    <w:rsid w:val="001B51A1"/>
    <w:rsid w:val="001B53C8"/>
    <w:rsid w:val="001D6600"/>
    <w:rsid w:val="001E6B75"/>
    <w:rsid w:val="001E6D78"/>
    <w:rsid w:val="001E70C0"/>
    <w:rsid w:val="001F159A"/>
    <w:rsid w:val="001F5988"/>
    <w:rsid w:val="001F7CE9"/>
    <w:rsid w:val="00201932"/>
    <w:rsid w:val="00202F3E"/>
    <w:rsid w:val="00203665"/>
    <w:rsid w:val="00203843"/>
    <w:rsid w:val="002041B0"/>
    <w:rsid w:val="00204DE4"/>
    <w:rsid w:val="0020559C"/>
    <w:rsid w:val="00215908"/>
    <w:rsid w:val="00215EBF"/>
    <w:rsid w:val="00225D92"/>
    <w:rsid w:val="002330E7"/>
    <w:rsid w:val="00236AA1"/>
    <w:rsid w:val="00265B73"/>
    <w:rsid w:val="0027270D"/>
    <w:rsid w:val="002749DE"/>
    <w:rsid w:val="00277432"/>
    <w:rsid w:val="002774D3"/>
    <w:rsid w:val="00286B1C"/>
    <w:rsid w:val="002A1DFA"/>
    <w:rsid w:val="002A4F94"/>
    <w:rsid w:val="002A6635"/>
    <w:rsid w:val="002A67AE"/>
    <w:rsid w:val="002B4195"/>
    <w:rsid w:val="002C5B41"/>
    <w:rsid w:val="002C782D"/>
    <w:rsid w:val="002E10E1"/>
    <w:rsid w:val="002E6237"/>
    <w:rsid w:val="00304EC7"/>
    <w:rsid w:val="00311E53"/>
    <w:rsid w:val="00312502"/>
    <w:rsid w:val="00313112"/>
    <w:rsid w:val="00313583"/>
    <w:rsid w:val="00316C44"/>
    <w:rsid w:val="00340333"/>
    <w:rsid w:val="003472EC"/>
    <w:rsid w:val="00350246"/>
    <w:rsid w:val="00351A81"/>
    <w:rsid w:val="00354453"/>
    <w:rsid w:val="0035665E"/>
    <w:rsid w:val="00364814"/>
    <w:rsid w:val="00365CFB"/>
    <w:rsid w:val="00374089"/>
    <w:rsid w:val="00374F98"/>
    <w:rsid w:val="00375402"/>
    <w:rsid w:val="003811D3"/>
    <w:rsid w:val="003855E5"/>
    <w:rsid w:val="003A1A6C"/>
    <w:rsid w:val="003A21F7"/>
    <w:rsid w:val="003A65D7"/>
    <w:rsid w:val="003A7E6A"/>
    <w:rsid w:val="003C3EE1"/>
    <w:rsid w:val="003C44C7"/>
    <w:rsid w:val="003D0A41"/>
    <w:rsid w:val="003D5896"/>
    <w:rsid w:val="003D7918"/>
    <w:rsid w:val="003E278D"/>
    <w:rsid w:val="003E494D"/>
    <w:rsid w:val="003E650B"/>
    <w:rsid w:val="003E6C3A"/>
    <w:rsid w:val="003F0CF4"/>
    <w:rsid w:val="003F749D"/>
    <w:rsid w:val="003F7635"/>
    <w:rsid w:val="00401A71"/>
    <w:rsid w:val="00421E06"/>
    <w:rsid w:val="00426AA6"/>
    <w:rsid w:val="004377C3"/>
    <w:rsid w:val="00447505"/>
    <w:rsid w:val="004541C6"/>
    <w:rsid w:val="00455B1E"/>
    <w:rsid w:val="004560B0"/>
    <w:rsid w:val="004561AB"/>
    <w:rsid w:val="0046009D"/>
    <w:rsid w:val="0046541E"/>
    <w:rsid w:val="00477D80"/>
    <w:rsid w:val="00487953"/>
    <w:rsid w:val="004934CF"/>
    <w:rsid w:val="00495759"/>
    <w:rsid w:val="00497263"/>
    <w:rsid w:val="004A6707"/>
    <w:rsid w:val="004B32A2"/>
    <w:rsid w:val="004B3FB1"/>
    <w:rsid w:val="004B4DD9"/>
    <w:rsid w:val="004B6C07"/>
    <w:rsid w:val="004D5B62"/>
    <w:rsid w:val="004D6630"/>
    <w:rsid w:val="004D7622"/>
    <w:rsid w:val="004E12F7"/>
    <w:rsid w:val="005003FC"/>
    <w:rsid w:val="00505D23"/>
    <w:rsid w:val="00512D58"/>
    <w:rsid w:val="0051325D"/>
    <w:rsid w:val="005155A1"/>
    <w:rsid w:val="00526976"/>
    <w:rsid w:val="00530BE6"/>
    <w:rsid w:val="005324BD"/>
    <w:rsid w:val="00533962"/>
    <w:rsid w:val="00534B57"/>
    <w:rsid w:val="00536A29"/>
    <w:rsid w:val="00540E4C"/>
    <w:rsid w:val="00544031"/>
    <w:rsid w:val="005466BC"/>
    <w:rsid w:val="0055150B"/>
    <w:rsid w:val="005533F4"/>
    <w:rsid w:val="00561DA4"/>
    <w:rsid w:val="00567D00"/>
    <w:rsid w:val="00573F7B"/>
    <w:rsid w:val="0057403F"/>
    <w:rsid w:val="00577FFB"/>
    <w:rsid w:val="00581227"/>
    <w:rsid w:val="00581501"/>
    <w:rsid w:val="00581E7D"/>
    <w:rsid w:val="00591489"/>
    <w:rsid w:val="00597757"/>
    <w:rsid w:val="005A2FB9"/>
    <w:rsid w:val="005A4576"/>
    <w:rsid w:val="005B1012"/>
    <w:rsid w:val="005B382B"/>
    <w:rsid w:val="005B61B5"/>
    <w:rsid w:val="005C0FDE"/>
    <w:rsid w:val="005E3684"/>
    <w:rsid w:val="005E759C"/>
    <w:rsid w:val="005F71F6"/>
    <w:rsid w:val="006037D7"/>
    <w:rsid w:val="00607342"/>
    <w:rsid w:val="006303EF"/>
    <w:rsid w:val="006449C1"/>
    <w:rsid w:val="00654502"/>
    <w:rsid w:val="00656E55"/>
    <w:rsid w:val="00657C0D"/>
    <w:rsid w:val="006623F9"/>
    <w:rsid w:val="006643E0"/>
    <w:rsid w:val="00664F8C"/>
    <w:rsid w:val="00676E9F"/>
    <w:rsid w:val="00677130"/>
    <w:rsid w:val="0068491A"/>
    <w:rsid w:val="006864DF"/>
    <w:rsid w:val="00687CB7"/>
    <w:rsid w:val="006910CE"/>
    <w:rsid w:val="00692C35"/>
    <w:rsid w:val="00695620"/>
    <w:rsid w:val="006968F6"/>
    <w:rsid w:val="006A133F"/>
    <w:rsid w:val="006B185A"/>
    <w:rsid w:val="006B1D73"/>
    <w:rsid w:val="006B7532"/>
    <w:rsid w:val="006C37FD"/>
    <w:rsid w:val="006C66AF"/>
    <w:rsid w:val="006D491F"/>
    <w:rsid w:val="006E359B"/>
    <w:rsid w:val="0070500C"/>
    <w:rsid w:val="00705060"/>
    <w:rsid w:val="007062D3"/>
    <w:rsid w:val="007131C9"/>
    <w:rsid w:val="00715C78"/>
    <w:rsid w:val="0071601D"/>
    <w:rsid w:val="0071764C"/>
    <w:rsid w:val="00720285"/>
    <w:rsid w:val="00720ACB"/>
    <w:rsid w:val="007268A3"/>
    <w:rsid w:val="007333E0"/>
    <w:rsid w:val="00733837"/>
    <w:rsid w:val="007604CD"/>
    <w:rsid w:val="00767DD1"/>
    <w:rsid w:val="00772D5E"/>
    <w:rsid w:val="00777894"/>
    <w:rsid w:val="00790424"/>
    <w:rsid w:val="00791A9C"/>
    <w:rsid w:val="00795A4E"/>
    <w:rsid w:val="00797A7E"/>
    <w:rsid w:val="007A4764"/>
    <w:rsid w:val="007A7C80"/>
    <w:rsid w:val="007B1BE9"/>
    <w:rsid w:val="007B64C8"/>
    <w:rsid w:val="007C08FA"/>
    <w:rsid w:val="007C14EC"/>
    <w:rsid w:val="007C7D1F"/>
    <w:rsid w:val="007F0FA0"/>
    <w:rsid w:val="007F43C5"/>
    <w:rsid w:val="00802DAB"/>
    <w:rsid w:val="008110C2"/>
    <w:rsid w:val="0081225B"/>
    <w:rsid w:val="00823365"/>
    <w:rsid w:val="008240A1"/>
    <w:rsid w:val="008246CF"/>
    <w:rsid w:val="00826345"/>
    <w:rsid w:val="0083046F"/>
    <w:rsid w:val="00837B45"/>
    <w:rsid w:val="00840C81"/>
    <w:rsid w:val="00842D68"/>
    <w:rsid w:val="00843447"/>
    <w:rsid w:val="00844C89"/>
    <w:rsid w:val="00851256"/>
    <w:rsid w:val="00852F1C"/>
    <w:rsid w:val="00855890"/>
    <w:rsid w:val="008614F5"/>
    <w:rsid w:val="00864201"/>
    <w:rsid w:val="00870D41"/>
    <w:rsid w:val="008751CC"/>
    <w:rsid w:val="00877889"/>
    <w:rsid w:val="0088638E"/>
    <w:rsid w:val="0089710C"/>
    <w:rsid w:val="008972F0"/>
    <w:rsid w:val="008B1B20"/>
    <w:rsid w:val="008B20E2"/>
    <w:rsid w:val="008B2376"/>
    <w:rsid w:val="008C474F"/>
    <w:rsid w:val="008D2680"/>
    <w:rsid w:val="008E5396"/>
    <w:rsid w:val="008F234C"/>
    <w:rsid w:val="009120AA"/>
    <w:rsid w:val="00913000"/>
    <w:rsid w:val="00914782"/>
    <w:rsid w:val="009159E8"/>
    <w:rsid w:val="0092516E"/>
    <w:rsid w:val="00930D71"/>
    <w:rsid w:val="00932740"/>
    <w:rsid w:val="009424D0"/>
    <w:rsid w:val="00942EBC"/>
    <w:rsid w:val="00943C47"/>
    <w:rsid w:val="00946F82"/>
    <w:rsid w:val="00947722"/>
    <w:rsid w:val="00954961"/>
    <w:rsid w:val="009570A0"/>
    <w:rsid w:val="00962DCB"/>
    <w:rsid w:val="00974028"/>
    <w:rsid w:val="00974A80"/>
    <w:rsid w:val="00980083"/>
    <w:rsid w:val="0098262C"/>
    <w:rsid w:val="00987578"/>
    <w:rsid w:val="009B3BA1"/>
    <w:rsid w:val="009B409F"/>
    <w:rsid w:val="009C31CE"/>
    <w:rsid w:val="009C411A"/>
    <w:rsid w:val="009C5381"/>
    <w:rsid w:val="009D4186"/>
    <w:rsid w:val="009D498D"/>
    <w:rsid w:val="009E1304"/>
    <w:rsid w:val="009E2274"/>
    <w:rsid w:val="009E51B5"/>
    <w:rsid w:val="009E5E5C"/>
    <w:rsid w:val="009F08C7"/>
    <w:rsid w:val="009F1C6B"/>
    <w:rsid w:val="009F77B7"/>
    <w:rsid w:val="00A01677"/>
    <w:rsid w:val="00A10661"/>
    <w:rsid w:val="00A11729"/>
    <w:rsid w:val="00A17518"/>
    <w:rsid w:val="00A2601E"/>
    <w:rsid w:val="00A30C06"/>
    <w:rsid w:val="00A336A8"/>
    <w:rsid w:val="00A4016A"/>
    <w:rsid w:val="00A52360"/>
    <w:rsid w:val="00A52EE1"/>
    <w:rsid w:val="00A60A18"/>
    <w:rsid w:val="00A641F1"/>
    <w:rsid w:val="00A66D19"/>
    <w:rsid w:val="00A72D6F"/>
    <w:rsid w:val="00A73220"/>
    <w:rsid w:val="00A755B2"/>
    <w:rsid w:val="00A839C1"/>
    <w:rsid w:val="00A91653"/>
    <w:rsid w:val="00A94E46"/>
    <w:rsid w:val="00A968EB"/>
    <w:rsid w:val="00AA3D07"/>
    <w:rsid w:val="00AA4154"/>
    <w:rsid w:val="00AA5043"/>
    <w:rsid w:val="00AA604B"/>
    <w:rsid w:val="00AA7A5C"/>
    <w:rsid w:val="00AB76CC"/>
    <w:rsid w:val="00AD6EB4"/>
    <w:rsid w:val="00AE249D"/>
    <w:rsid w:val="00AF2F29"/>
    <w:rsid w:val="00B00B81"/>
    <w:rsid w:val="00B0271A"/>
    <w:rsid w:val="00B02B33"/>
    <w:rsid w:val="00B02F9F"/>
    <w:rsid w:val="00B108D3"/>
    <w:rsid w:val="00B141D5"/>
    <w:rsid w:val="00B2257B"/>
    <w:rsid w:val="00B236B7"/>
    <w:rsid w:val="00B26C89"/>
    <w:rsid w:val="00B42113"/>
    <w:rsid w:val="00B44D1D"/>
    <w:rsid w:val="00B53FF2"/>
    <w:rsid w:val="00B551CE"/>
    <w:rsid w:val="00B559B4"/>
    <w:rsid w:val="00B646F2"/>
    <w:rsid w:val="00B67C1D"/>
    <w:rsid w:val="00B80790"/>
    <w:rsid w:val="00B83AD8"/>
    <w:rsid w:val="00B840B1"/>
    <w:rsid w:val="00B905B2"/>
    <w:rsid w:val="00B90AA8"/>
    <w:rsid w:val="00B91273"/>
    <w:rsid w:val="00B91AC1"/>
    <w:rsid w:val="00B97315"/>
    <w:rsid w:val="00BB4C4F"/>
    <w:rsid w:val="00BC125A"/>
    <w:rsid w:val="00BC348C"/>
    <w:rsid w:val="00BD21B0"/>
    <w:rsid w:val="00BD3EAE"/>
    <w:rsid w:val="00BE39AF"/>
    <w:rsid w:val="00C01ADE"/>
    <w:rsid w:val="00C0252C"/>
    <w:rsid w:val="00C045ED"/>
    <w:rsid w:val="00C1231D"/>
    <w:rsid w:val="00C12F34"/>
    <w:rsid w:val="00C16F76"/>
    <w:rsid w:val="00C178C5"/>
    <w:rsid w:val="00C240B9"/>
    <w:rsid w:val="00C252EF"/>
    <w:rsid w:val="00C2531F"/>
    <w:rsid w:val="00C27B05"/>
    <w:rsid w:val="00C301DC"/>
    <w:rsid w:val="00C32DB4"/>
    <w:rsid w:val="00C35C88"/>
    <w:rsid w:val="00C37891"/>
    <w:rsid w:val="00C41FBD"/>
    <w:rsid w:val="00C45B69"/>
    <w:rsid w:val="00C73868"/>
    <w:rsid w:val="00C80A16"/>
    <w:rsid w:val="00C91F7A"/>
    <w:rsid w:val="00C91FC0"/>
    <w:rsid w:val="00C97EBF"/>
    <w:rsid w:val="00CA4642"/>
    <w:rsid w:val="00CA5197"/>
    <w:rsid w:val="00CB0D94"/>
    <w:rsid w:val="00CB2492"/>
    <w:rsid w:val="00CB5EA5"/>
    <w:rsid w:val="00CB77BF"/>
    <w:rsid w:val="00CC2307"/>
    <w:rsid w:val="00CD4202"/>
    <w:rsid w:val="00CE29AA"/>
    <w:rsid w:val="00CE6298"/>
    <w:rsid w:val="00CF195C"/>
    <w:rsid w:val="00CF35B7"/>
    <w:rsid w:val="00CF7D43"/>
    <w:rsid w:val="00D17673"/>
    <w:rsid w:val="00D206E6"/>
    <w:rsid w:val="00D20A28"/>
    <w:rsid w:val="00D2284B"/>
    <w:rsid w:val="00D3298E"/>
    <w:rsid w:val="00D33825"/>
    <w:rsid w:val="00D36025"/>
    <w:rsid w:val="00D52409"/>
    <w:rsid w:val="00D81ECE"/>
    <w:rsid w:val="00D82EF4"/>
    <w:rsid w:val="00D945E5"/>
    <w:rsid w:val="00D94EEE"/>
    <w:rsid w:val="00D9502C"/>
    <w:rsid w:val="00D97D3C"/>
    <w:rsid w:val="00DA17D8"/>
    <w:rsid w:val="00DA19B2"/>
    <w:rsid w:val="00DA2855"/>
    <w:rsid w:val="00DA74FE"/>
    <w:rsid w:val="00DB16F5"/>
    <w:rsid w:val="00DB6BAE"/>
    <w:rsid w:val="00DC27B1"/>
    <w:rsid w:val="00DD1861"/>
    <w:rsid w:val="00DD1E44"/>
    <w:rsid w:val="00DE2536"/>
    <w:rsid w:val="00DE5A3E"/>
    <w:rsid w:val="00DF1F69"/>
    <w:rsid w:val="00DF21D3"/>
    <w:rsid w:val="00DF4ECD"/>
    <w:rsid w:val="00DF608D"/>
    <w:rsid w:val="00DF720F"/>
    <w:rsid w:val="00E00D32"/>
    <w:rsid w:val="00E105DE"/>
    <w:rsid w:val="00E11EA8"/>
    <w:rsid w:val="00E21F50"/>
    <w:rsid w:val="00E44615"/>
    <w:rsid w:val="00E515F5"/>
    <w:rsid w:val="00E555A2"/>
    <w:rsid w:val="00E55AFD"/>
    <w:rsid w:val="00E57208"/>
    <w:rsid w:val="00E60DB5"/>
    <w:rsid w:val="00E7224D"/>
    <w:rsid w:val="00E74897"/>
    <w:rsid w:val="00E77089"/>
    <w:rsid w:val="00E84DB1"/>
    <w:rsid w:val="00E85076"/>
    <w:rsid w:val="00E85507"/>
    <w:rsid w:val="00E90F70"/>
    <w:rsid w:val="00E9323E"/>
    <w:rsid w:val="00EB1A9E"/>
    <w:rsid w:val="00EC3D8B"/>
    <w:rsid w:val="00EC7FE1"/>
    <w:rsid w:val="00ED0DF9"/>
    <w:rsid w:val="00ED31B3"/>
    <w:rsid w:val="00EE344E"/>
    <w:rsid w:val="00EE4DE7"/>
    <w:rsid w:val="00EE5DC4"/>
    <w:rsid w:val="00EE60D6"/>
    <w:rsid w:val="00EF6C04"/>
    <w:rsid w:val="00F033CF"/>
    <w:rsid w:val="00F043D3"/>
    <w:rsid w:val="00F07822"/>
    <w:rsid w:val="00F12261"/>
    <w:rsid w:val="00F126BD"/>
    <w:rsid w:val="00F1368B"/>
    <w:rsid w:val="00F14BDD"/>
    <w:rsid w:val="00F152C6"/>
    <w:rsid w:val="00F15D85"/>
    <w:rsid w:val="00F17CE6"/>
    <w:rsid w:val="00F20B69"/>
    <w:rsid w:val="00F2207B"/>
    <w:rsid w:val="00F314D8"/>
    <w:rsid w:val="00F37628"/>
    <w:rsid w:val="00F40D0D"/>
    <w:rsid w:val="00F42C03"/>
    <w:rsid w:val="00F54985"/>
    <w:rsid w:val="00F56FF3"/>
    <w:rsid w:val="00F72423"/>
    <w:rsid w:val="00F74951"/>
    <w:rsid w:val="00F80624"/>
    <w:rsid w:val="00F97DAF"/>
    <w:rsid w:val="00FA13E0"/>
    <w:rsid w:val="00FA75E3"/>
    <w:rsid w:val="00FB002E"/>
    <w:rsid w:val="00FB01D5"/>
    <w:rsid w:val="00FB097B"/>
    <w:rsid w:val="00FB2409"/>
    <w:rsid w:val="00FB59D2"/>
    <w:rsid w:val="00FB6BF3"/>
    <w:rsid w:val="00FC4FDB"/>
    <w:rsid w:val="00FD4FA4"/>
    <w:rsid w:val="00FD5C9C"/>
    <w:rsid w:val="00FE2DBA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309BF6"/>
  <w15:docId w15:val="{21D3A142-0835-48BA-BD58-145B41A3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05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05B2"/>
    <w:rPr>
      <w:kern w:val="2"/>
      <w:sz w:val="21"/>
      <w:szCs w:val="24"/>
    </w:rPr>
  </w:style>
  <w:style w:type="paragraph" w:styleId="a7">
    <w:name w:val="Balloon Text"/>
    <w:basedOn w:val="a"/>
    <w:link w:val="a8"/>
    <w:rsid w:val="00350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502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81E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5F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3 Accent 1"/>
    <w:basedOn w:val="a1"/>
    <w:uiPriority w:val="69"/>
    <w:rsid w:val="005F71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a">
    <w:name w:val="Date"/>
    <w:basedOn w:val="a"/>
    <w:next w:val="a"/>
    <w:link w:val="ab"/>
    <w:rsid w:val="00843447"/>
  </w:style>
  <w:style w:type="character" w:customStyle="1" w:styleId="ab">
    <w:name w:val="日付 (文字)"/>
    <w:basedOn w:val="a0"/>
    <w:link w:val="aa"/>
    <w:rsid w:val="008434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______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613734567901533E-2"/>
          <c:y val="3.9167222222222221E-2"/>
          <c:w val="0.83443672939866009"/>
          <c:h val="0.8724561111111111"/>
        </c:manualLayout>
      </c:layout>
      <c:lineChart>
        <c:grouping val="standard"/>
        <c:varyColors val="0"/>
        <c:ser>
          <c:idx val="0"/>
          <c:order val="0"/>
          <c:tx>
            <c:strRef>
              <c:f>GDP推移!$B$18</c:f>
              <c:strCache>
                <c:ptCount val="1"/>
                <c:pt idx="0">
                  <c:v>国内総生産</c:v>
                </c:pt>
              </c:strCache>
            </c:strRef>
          </c:tx>
          <c:spPr>
            <a:ln>
              <a:solidFill>
                <a:schemeClr val="tx1"/>
              </a:solidFill>
              <a:prstDash val="sysDash"/>
              <a:round/>
            </a:ln>
          </c:spPr>
          <c:marker>
            <c:symbol val="diamond"/>
            <c:size val="7"/>
            <c:spPr>
              <a:solidFill>
                <a:schemeClr val="bg1"/>
              </a:solidFill>
              <a:ln>
                <a:solidFill>
                  <a:prstClr val="black"/>
                </a:solidFill>
              </a:ln>
            </c:spPr>
          </c:marker>
          <c:dLbls>
            <c:dLbl>
              <c:idx val="11"/>
              <c:layout>
                <c:manualLayout>
                  <c:x val="-7.1122439110613236E-2"/>
                  <c:y val="-5.8207147183525147E-2"/>
                </c:manualLayout>
              </c:layout>
              <c:numFmt formatCode="#,##0.0_);[Red]\(#,##0.0\)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0"/>
                  </a:pPr>
                  <a:endParaRPr lang="ja-JP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24D6-4C7B-9217-C664EF8BA561}"/>
                </c:ext>
              </c:extLst>
            </c:dLbl>
            <c:dLbl>
              <c:idx val="12"/>
              <c:layout>
                <c:manualLayout>
                  <c:x val="-5.5515979816373018E-2"/>
                  <c:y val="-5.39336429100208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4D6-4C7B-9217-C664EF8BA56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0"/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GDP推移!$S$17:$AE$17</c:f>
              <c:numCache>
                <c:formatCode>General</c:formatCode>
                <c:ptCount val="13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  <c:pt idx="11">
                  <c:v>2017</c:v>
                </c:pt>
                <c:pt idx="12">
                  <c:v>2018</c:v>
                </c:pt>
              </c:numCache>
            </c:numRef>
          </c:cat>
          <c:val>
            <c:numRef>
              <c:f>GDP推移!$S$18:$AE$18</c:f>
              <c:numCache>
                <c:formatCode>#,##0.0;[Red]\-#,##0.0</c:formatCode>
                <c:ptCount val="13"/>
                <c:pt idx="0">
                  <c:v>100</c:v>
                </c:pt>
                <c:pt idx="1">
                  <c:v>100.35714184451456</c:v>
                </c:pt>
                <c:pt idx="2">
                  <c:v>96.304298310031413</c:v>
                </c:pt>
                <c:pt idx="3">
                  <c:v>92.991653647642352</c:v>
                </c:pt>
                <c:pt idx="4">
                  <c:v>94.404021673485701</c:v>
                </c:pt>
                <c:pt idx="5">
                  <c:v>93.385863088065307</c:v>
                </c:pt>
                <c:pt idx="6">
                  <c:v>93.447730625754318</c:v>
                </c:pt>
                <c:pt idx="7">
                  <c:v>95.883379785968188</c:v>
                </c:pt>
                <c:pt idx="8">
                  <c:v>97.958862718523505</c:v>
                </c:pt>
                <c:pt idx="9">
                  <c:v>100.70931235923624</c:v>
                </c:pt>
                <c:pt idx="10">
                  <c:v>101.47765689696399</c:v>
                </c:pt>
                <c:pt idx="11">
                  <c:v>103.50686676741643</c:v>
                </c:pt>
                <c:pt idx="12">
                  <c:v>103.65449446963189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4D6-4C7B-9217-C664EF8BA561}"/>
            </c:ext>
          </c:extLst>
        </c:ser>
        <c:ser>
          <c:idx val="1"/>
          <c:order val="1"/>
          <c:tx>
            <c:strRef>
              <c:f>GDP推移!$B$19</c:f>
              <c:strCache>
                <c:ptCount val="1"/>
                <c:pt idx="0">
                  <c:v>府内総生産（大阪府）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triangle"/>
            <c:size val="7"/>
            <c:spPr>
              <a:solidFill>
                <a:sysClr val="windowText" lastClr="000000"/>
              </a:solidFill>
              <a:ln>
                <a:solidFill>
                  <a:prstClr val="black"/>
                </a:solidFill>
              </a:ln>
            </c:spPr>
          </c:marker>
          <c:dLbls>
            <c:dLbl>
              <c:idx val="11"/>
              <c:layout>
                <c:manualLayout>
                  <c:x val="-3.9507720487126294E-2"/>
                  <c:y val="-4.42757748260594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4D6-4C7B-9217-C664EF8BA561}"/>
                </c:ext>
              </c:extLst>
            </c:dLbl>
            <c:numFmt formatCode="#,##0.0_);[Red]\(#,##0.0\)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0"/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GDP推移!$S$17:$AE$17</c:f>
              <c:numCache>
                <c:formatCode>General</c:formatCode>
                <c:ptCount val="13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  <c:pt idx="11">
                  <c:v>2017</c:v>
                </c:pt>
                <c:pt idx="12">
                  <c:v>2018</c:v>
                </c:pt>
              </c:numCache>
            </c:numRef>
          </c:cat>
          <c:val>
            <c:numRef>
              <c:f>GDP推移!$S$19:$AE$19</c:f>
              <c:numCache>
                <c:formatCode>#,##0.0;[Red]\-#,##0.0</c:formatCode>
                <c:ptCount val="13"/>
                <c:pt idx="0">
                  <c:v>100</c:v>
                </c:pt>
                <c:pt idx="1">
                  <c:v>100.12451540148393</c:v>
                </c:pt>
                <c:pt idx="2">
                  <c:v>96.660459118195448</c:v>
                </c:pt>
                <c:pt idx="3">
                  <c:v>92.027789582813227</c:v>
                </c:pt>
                <c:pt idx="4">
                  <c:v>92.758906326684325</c:v>
                </c:pt>
                <c:pt idx="5">
                  <c:v>94.270180166183025</c:v>
                </c:pt>
                <c:pt idx="6">
                  <c:v>93.14672556289959</c:v>
                </c:pt>
                <c:pt idx="7">
                  <c:v>93.626389200801498</c:v>
                </c:pt>
                <c:pt idx="8">
                  <c:v>95.506562735992745</c:v>
                </c:pt>
                <c:pt idx="9">
                  <c:v>97.522302489776422</c:v>
                </c:pt>
                <c:pt idx="10">
                  <c:v>97.301474214609627</c:v>
                </c:pt>
                <c:pt idx="11">
                  <c:v>100.47784816443095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4D6-4C7B-9217-C664EF8BA561}"/>
            </c:ext>
          </c:extLst>
        </c:ser>
        <c:ser>
          <c:idx val="2"/>
          <c:order val="2"/>
          <c:tx>
            <c:strRef>
              <c:f>GDP推移!$B$20</c:f>
              <c:strCache>
                <c:ptCount val="1"/>
                <c:pt idx="0">
                  <c:v>市内総生産（大阪市）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square"/>
            <c:size val="6"/>
            <c:spPr>
              <a:solidFill>
                <a:schemeClr val="tx1"/>
              </a:solidFill>
              <a:ln>
                <a:solidFill>
                  <a:prstClr val="black"/>
                </a:solidFill>
              </a:ln>
            </c:spPr>
          </c:marker>
          <c:dLbls>
            <c:dLbl>
              <c:idx val="11"/>
              <c:layout>
                <c:manualLayout>
                  <c:x val="-3.9981389660982226E-2"/>
                  <c:y val="5.6925996204933584E-2"/>
                </c:manualLayout>
              </c:layout>
              <c:numFmt formatCode="#,##0.0_);[Red]\(#,##0.0\)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b="0"/>
                  </a:pPr>
                  <a:endParaRPr lang="ja-JP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24D6-4C7B-9217-C664EF8BA56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0"/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GDP推移!$S$17:$AE$17</c:f>
              <c:numCache>
                <c:formatCode>General</c:formatCode>
                <c:ptCount val="13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  <c:pt idx="11">
                  <c:v>2017</c:v>
                </c:pt>
                <c:pt idx="12">
                  <c:v>2018</c:v>
                </c:pt>
              </c:numCache>
            </c:numRef>
          </c:cat>
          <c:val>
            <c:numRef>
              <c:f>GDP推移!$S$20:$AE$20</c:f>
              <c:numCache>
                <c:formatCode>#,##0.0;[Red]\-#,##0.0</c:formatCode>
                <c:ptCount val="13"/>
                <c:pt idx="0">
                  <c:v>100</c:v>
                </c:pt>
                <c:pt idx="1">
                  <c:v>100.20754982777378</c:v>
                </c:pt>
                <c:pt idx="2">
                  <c:v>97.325822079371662</c:v>
                </c:pt>
                <c:pt idx="3">
                  <c:v>91.368457581086005</c:v>
                </c:pt>
                <c:pt idx="4">
                  <c:v>91.379252168816976</c:v>
                </c:pt>
                <c:pt idx="5">
                  <c:v>92.579774475191769</c:v>
                </c:pt>
                <c:pt idx="6">
                  <c:v>91.011237842589566</c:v>
                </c:pt>
                <c:pt idx="7">
                  <c:v>92.478361027362538</c:v>
                </c:pt>
                <c:pt idx="8">
                  <c:v>93.461153283385769</c:v>
                </c:pt>
                <c:pt idx="9">
                  <c:v>94.851308033808323</c:v>
                </c:pt>
                <c:pt idx="10">
                  <c:v>96.224721333805945</c:v>
                </c:pt>
                <c:pt idx="11">
                  <c:v>98.10265801723726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24D6-4C7B-9217-C664EF8BA5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7960112"/>
        <c:axId val="437957760"/>
      </c:lineChart>
      <c:catAx>
        <c:axId val="437960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0"/>
            </a:pPr>
            <a:endParaRPr lang="ja-JP"/>
          </a:p>
        </c:txPr>
        <c:crossAx val="437957760"/>
        <c:crosses val="autoZero"/>
        <c:auto val="1"/>
        <c:lblAlgn val="ctr"/>
        <c:lblOffset val="100"/>
        <c:noMultiLvlLbl val="0"/>
      </c:catAx>
      <c:valAx>
        <c:axId val="437957760"/>
        <c:scaling>
          <c:orientation val="minMax"/>
          <c:max val="106"/>
          <c:min val="90"/>
        </c:scaling>
        <c:delete val="0"/>
        <c:axPos val="l"/>
        <c:majorGridlines>
          <c:spPr>
            <a:ln>
              <a:prstDash val="dash"/>
            </a:ln>
          </c:spPr>
        </c:majorGridlines>
        <c:numFmt formatCode="#,##0.0;[Red]\-#,##0.0" sourceLinked="1"/>
        <c:majorTickMark val="out"/>
        <c:minorTickMark val="none"/>
        <c:tickLblPos val="nextTo"/>
        <c:txPr>
          <a:bodyPr/>
          <a:lstStyle/>
          <a:p>
            <a:pPr>
              <a:defRPr b="0"/>
            </a:pPr>
            <a:endParaRPr lang="ja-JP"/>
          </a:p>
        </c:txPr>
        <c:crossAx val="437960112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r"/>
      <c:layout>
        <c:manualLayout>
          <c:xMode val="edge"/>
          <c:yMode val="edge"/>
          <c:x val="0.28173751946826214"/>
          <c:y val="0.18520021535769568"/>
          <c:w val="0.31617647058823528"/>
          <c:h val="0.2275132275132275"/>
        </c:manualLayout>
      </c:layout>
      <c:overlay val="0"/>
      <c:spPr>
        <a:solidFill>
          <a:schemeClr val="bg1"/>
        </a:solidFill>
        <a:ln>
          <a:solidFill>
            <a:schemeClr val="tx1"/>
          </a:solidFill>
        </a:ln>
      </c:spPr>
      <c:txPr>
        <a:bodyPr/>
        <a:lstStyle/>
        <a:p>
          <a:pPr>
            <a:defRPr b="0"/>
          </a:pPr>
          <a:endParaRPr lang="ja-JP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b="1"/>
      </a:pPr>
      <a:endParaRPr lang="ja-JP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0431933002594325E-2"/>
          <c:y val="3.8115038115038115E-2"/>
          <c:w val="0.89837346198777179"/>
          <c:h val="0.8027316232040641"/>
        </c:manualLayout>
      </c:layout>
      <c:lineChart>
        <c:grouping val="standard"/>
        <c:varyColors val="0"/>
        <c:ser>
          <c:idx val="0"/>
          <c:order val="0"/>
          <c:tx>
            <c:strRef>
              <c:f>業況判断DI!$B$21</c:f>
              <c:strCache>
                <c:ptCount val="1"/>
                <c:pt idx="0">
                  <c:v>前期比・季節調整値</c:v>
                </c:pt>
              </c:strCache>
            </c:strRef>
          </c:tx>
          <c:spPr>
            <a:ln w="1587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38100">
                <a:solidFill>
                  <a:schemeClr val="tx1"/>
                </a:solidFill>
              </a:ln>
              <a:effectLst/>
            </c:spPr>
          </c:marker>
          <c:cat>
            <c:multiLvlStrRef>
              <c:f>業況判断DI!$C$19:$M$20</c:f>
              <c:multiLvlStrCache>
                <c:ptCount val="11"/>
                <c:lvl>
                  <c:pt idx="0">
                    <c:v>4～6</c:v>
                  </c:pt>
                  <c:pt idx="1">
                    <c:v>7～9</c:v>
                  </c:pt>
                  <c:pt idx="2">
                    <c:v>10～12</c:v>
                  </c:pt>
                  <c:pt idx="3">
                    <c:v>1～3</c:v>
                  </c:pt>
                  <c:pt idx="4">
                    <c:v>4～6</c:v>
                  </c:pt>
                  <c:pt idx="5">
                    <c:v>7～9</c:v>
                  </c:pt>
                  <c:pt idx="6">
                    <c:v>10～12</c:v>
                  </c:pt>
                  <c:pt idx="7">
                    <c:v>1～3</c:v>
                  </c:pt>
                  <c:pt idx="8">
                    <c:v>4～6</c:v>
                  </c:pt>
                  <c:pt idx="9">
                    <c:v>7～9</c:v>
                  </c:pt>
                  <c:pt idx="10">
                    <c:v>10～12</c:v>
                  </c:pt>
                </c:lvl>
                <c:lvl>
                  <c:pt idx="0">
                    <c:v>平成30年</c:v>
                  </c:pt>
                  <c:pt idx="3">
                    <c:v>平成31(令和元)年</c:v>
                  </c:pt>
                  <c:pt idx="7">
                    <c:v>令和2年</c:v>
                  </c:pt>
                </c:lvl>
              </c:multiLvlStrCache>
            </c:multiLvlStrRef>
          </c:cat>
          <c:val>
            <c:numRef>
              <c:f>業況判断DI!$C$21:$M$21</c:f>
              <c:numCache>
                <c:formatCode>#,##0.0;"▲ "#,##0.0</c:formatCode>
                <c:ptCount val="11"/>
                <c:pt idx="0">
                  <c:v>-5.8</c:v>
                </c:pt>
                <c:pt idx="1">
                  <c:v>-9.1</c:v>
                </c:pt>
                <c:pt idx="2">
                  <c:v>-9.8000000000000007</c:v>
                </c:pt>
                <c:pt idx="3">
                  <c:v>-14.3</c:v>
                </c:pt>
                <c:pt idx="4">
                  <c:v>-16.100000000000001</c:v>
                </c:pt>
                <c:pt idx="5">
                  <c:v>-18.8</c:v>
                </c:pt>
                <c:pt idx="6">
                  <c:v>-30.5</c:v>
                </c:pt>
                <c:pt idx="7">
                  <c:v>-43.5</c:v>
                </c:pt>
                <c:pt idx="8">
                  <c:v>-62.3</c:v>
                </c:pt>
                <c:pt idx="9">
                  <c:v>-46.1</c:v>
                </c:pt>
                <c:pt idx="10">
                  <c:v>-38.4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BAE-41F8-B548-5F0EF71D8062}"/>
            </c:ext>
          </c:extLst>
        </c:ser>
        <c:ser>
          <c:idx val="1"/>
          <c:order val="1"/>
          <c:tx>
            <c:strRef>
              <c:f>業況判断DI!$B$22</c:f>
              <c:strCache>
                <c:ptCount val="1"/>
                <c:pt idx="0">
                  <c:v>前年同期比</c:v>
                </c:pt>
              </c:strCache>
            </c:strRef>
          </c:tx>
          <c:spPr>
            <a:ln w="15875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triangle"/>
            <c:size val="5"/>
            <c:spPr>
              <a:solidFill>
                <a:schemeClr val="tx1"/>
              </a:solidFill>
              <a:ln w="38100">
                <a:solidFill>
                  <a:schemeClr val="tx1"/>
                </a:solidFill>
                <a:miter lim="800000"/>
              </a:ln>
              <a:effectLst/>
            </c:spPr>
          </c:marker>
          <c:cat>
            <c:multiLvlStrRef>
              <c:f>業況判断DI!$C$19:$M$20</c:f>
              <c:multiLvlStrCache>
                <c:ptCount val="11"/>
                <c:lvl>
                  <c:pt idx="0">
                    <c:v>4～6</c:v>
                  </c:pt>
                  <c:pt idx="1">
                    <c:v>7～9</c:v>
                  </c:pt>
                  <c:pt idx="2">
                    <c:v>10～12</c:v>
                  </c:pt>
                  <c:pt idx="3">
                    <c:v>1～3</c:v>
                  </c:pt>
                  <c:pt idx="4">
                    <c:v>4～6</c:v>
                  </c:pt>
                  <c:pt idx="5">
                    <c:v>7～9</c:v>
                  </c:pt>
                  <c:pt idx="6">
                    <c:v>10～12</c:v>
                  </c:pt>
                  <c:pt idx="7">
                    <c:v>1～3</c:v>
                  </c:pt>
                  <c:pt idx="8">
                    <c:v>4～6</c:v>
                  </c:pt>
                  <c:pt idx="9">
                    <c:v>7～9</c:v>
                  </c:pt>
                  <c:pt idx="10">
                    <c:v>10～12</c:v>
                  </c:pt>
                </c:lvl>
                <c:lvl>
                  <c:pt idx="0">
                    <c:v>平成30年</c:v>
                  </c:pt>
                  <c:pt idx="3">
                    <c:v>平成31(令和元)年</c:v>
                  </c:pt>
                  <c:pt idx="7">
                    <c:v>令和2年</c:v>
                  </c:pt>
                </c:lvl>
              </c:multiLvlStrCache>
            </c:multiLvlStrRef>
          </c:cat>
          <c:val>
            <c:numRef>
              <c:f>業況判断DI!$C$22:$M$22</c:f>
              <c:numCache>
                <c:formatCode>#,##0.0;"▲ "#,##0.0</c:formatCode>
                <c:ptCount val="11"/>
                <c:pt idx="0">
                  <c:v>-10.4</c:v>
                </c:pt>
                <c:pt idx="1">
                  <c:v>-9.3000000000000007</c:v>
                </c:pt>
                <c:pt idx="2">
                  <c:v>-0.9</c:v>
                </c:pt>
                <c:pt idx="3">
                  <c:v>-14.4</c:v>
                </c:pt>
                <c:pt idx="4">
                  <c:v>-22.7</c:v>
                </c:pt>
                <c:pt idx="5">
                  <c:v>-21.2</c:v>
                </c:pt>
                <c:pt idx="6">
                  <c:v>-30.2</c:v>
                </c:pt>
                <c:pt idx="7">
                  <c:v>-51.6</c:v>
                </c:pt>
                <c:pt idx="8">
                  <c:v>-75.400000000000006</c:v>
                </c:pt>
                <c:pt idx="9">
                  <c:v>-67.3</c:v>
                </c:pt>
                <c:pt idx="10">
                  <c:v>-57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BAE-41F8-B548-5F0EF71D80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2244224"/>
        <c:axId val="562247176"/>
      </c:lineChart>
      <c:catAx>
        <c:axId val="562244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62247176"/>
        <c:crosses val="autoZero"/>
        <c:auto val="1"/>
        <c:lblAlgn val="ctr"/>
        <c:lblOffset val="100"/>
        <c:noMultiLvlLbl val="0"/>
      </c:catAx>
      <c:valAx>
        <c:axId val="562247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/>
              </a:solidFill>
              <a:prstDash val="dash"/>
              <a:round/>
            </a:ln>
            <a:effectLst/>
          </c:spPr>
        </c:majorGridlines>
        <c:numFmt formatCode="#,##0.0;&quot;▲ &quot;#,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62244224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</c:legendEntry>
      <c:layout>
        <c:manualLayout>
          <c:xMode val="edge"/>
          <c:yMode val="edge"/>
          <c:x val="0.18169563585669635"/>
          <c:y val="0.40258876838508395"/>
          <c:w val="0.28593448940269756"/>
          <c:h val="0.21786250211447059"/>
        </c:manualLayout>
      </c:layout>
      <c:overlay val="0"/>
      <c:spPr>
        <a:solidFill>
          <a:schemeClr val="bg1"/>
        </a:solidFill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0.86431</cdr:x>
      <cdr:y>0.92674</cdr:y>
    </cdr:from>
    <cdr:to>
      <cdr:x>0.98602</cdr:x>
      <cdr:y>0.9921</cdr:y>
    </cdr:to>
    <cdr:sp macro="" textlink="">
      <cdr:nvSpPr>
        <cdr:cNvPr id="2" name="正方形/長方形 1"/>
        <cdr:cNvSpPr/>
      </cdr:nvSpPr>
      <cdr:spPr>
        <a:xfrm xmlns:a="http://schemas.openxmlformats.org/drawingml/2006/main">
          <a:off x="5183229" y="2754084"/>
          <a:ext cx="729891" cy="1942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r"/>
          <a:r>
            <a:rPr lang="ja-JP" altLang="en-US" sz="900" b="0">
              <a:solidFill>
                <a:sysClr val="windowText" lastClr="000000"/>
              </a:solidFill>
            </a:rPr>
            <a:t>（年度）</a:t>
          </a:r>
          <a:endParaRPr lang="ja-JP" sz="900" b="0">
            <a:solidFill>
              <a:sysClr val="windowText" lastClr="000000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95C16-23C3-4DAC-A18B-1E1035FF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230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人口推移と人口推計</vt:lpstr>
      <vt:lpstr>人口推移と人口推計</vt:lpstr>
    </vt:vector>
  </TitlesOfParts>
  <Company>三菱UFJリサーチ＆コンサルティング株式会社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人口推移と人口推計</dc:title>
  <dc:creator>大阪市</dc:creator>
  <cp:lastModifiedBy>森田　俊作</cp:lastModifiedBy>
  <cp:revision>40</cp:revision>
  <cp:lastPrinted>2021-02-05T05:52:00Z</cp:lastPrinted>
  <dcterms:created xsi:type="dcterms:W3CDTF">2020-08-27T06:16:00Z</dcterms:created>
  <dcterms:modified xsi:type="dcterms:W3CDTF">2021-02-15T00:13:00Z</dcterms:modified>
</cp:coreProperties>
</file>