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AA" w:rsidRPr="00466595" w:rsidRDefault="005B52AA" w:rsidP="005B52AA">
      <w:pPr>
        <w:rPr>
          <w:rFonts w:ascii="ＭＳ Ｐゴシック" w:eastAsia="ＭＳ Ｐゴシック" w:hAnsi="ＭＳ Ｐゴシック"/>
          <w:b/>
          <w:sz w:val="24"/>
        </w:rPr>
      </w:pPr>
      <w:bookmarkStart w:id="0" w:name="_GoBack"/>
      <w:bookmarkEnd w:id="0"/>
      <w:r w:rsidRPr="00466595">
        <w:rPr>
          <w:rFonts w:ascii="ＭＳ Ｐゴシック" w:eastAsia="ＭＳ Ｐゴシック" w:hAnsi="ＭＳ Ｐゴシック" w:hint="eastAsia"/>
          <w:b/>
          <w:sz w:val="24"/>
        </w:rPr>
        <w:t>平成２５年度予算編成</w:t>
      </w:r>
      <w:r w:rsidR="00CD5738">
        <w:rPr>
          <w:rFonts w:ascii="ＭＳ Ｐゴシック" w:eastAsia="ＭＳ Ｐゴシック" w:hAnsi="ＭＳ Ｐゴシック" w:hint="eastAsia"/>
          <w:b/>
          <w:sz w:val="24"/>
        </w:rPr>
        <w:t xml:space="preserve">　　</w:t>
      </w:r>
      <w:r w:rsidRPr="00466595">
        <w:rPr>
          <w:rFonts w:ascii="ＭＳ Ｐゴシック" w:eastAsia="ＭＳ Ｐゴシック" w:hAnsi="ＭＳ Ｐゴシック" w:hint="eastAsia"/>
          <w:b/>
          <w:sz w:val="24"/>
        </w:rPr>
        <w:t>区長</w:t>
      </w:r>
      <w:r w:rsidR="00CD5738">
        <w:rPr>
          <w:rFonts w:ascii="ＭＳ Ｐゴシック" w:eastAsia="ＭＳ Ｐゴシック" w:hAnsi="ＭＳ Ｐゴシック" w:hint="eastAsia"/>
          <w:b/>
          <w:sz w:val="24"/>
        </w:rPr>
        <w:t>自由経費</w:t>
      </w:r>
      <w:r w:rsidRPr="00466595">
        <w:rPr>
          <w:rFonts w:ascii="ＭＳ Ｐゴシック" w:eastAsia="ＭＳ Ｐゴシック" w:hAnsi="ＭＳ Ｐゴシック" w:hint="eastAsia"/>
          <w:b/>
          <w:sz w:val="24"/>
        </w:rPr>
        <w:t>の</w:t>
      </w:r>
      <w:r w:rsidR="00CD5738">
        <w:rPr>
          <w:rFonts w:ascii="ＭＳ Ｐゴシック" w:eastAsia="ＭＳ Ｐゴシック" w:hAnsi="ＭＳ Ｐゴシック" w:hint="eastAsia"/>
          <w:b/>
          <w:sz w:val="24"/>
        </w:rPr>
        <w:t>各区への</w:t>
      </w:r>
      <w:r w:rsidRPr="00466595">
        <w:rPr>
          <w:rFonts w:ascii="ＭＳ Ｐゴシック" w:eastAsia="ＭＳ Ｐゴシック" w:hAnsi="ＭＳ Ｐゴシック" w:hint="eastAsia"/>
          <w:b/>
          <w:sz w:val="24"/>
        </w:rPr>
        <w:t>財源配分</w:t>
      </w:r>
      <w:r w:rsidR="00CD5738">
        <w:rPr>
          <w:rFonts w:ascii="ＭＳ Ｐゴシック" w:eastAsia="ＭＳ Ｐゴシック" w:hAnsi="ＭＳ Ｐゴシック" w:hint="eastAsia"/>
          <w:b/>
          <w:sz w:val="24"/>
        </w:rPr>
        <w:t>に係る指標（測定単位）</w:t>
      </w:r>
      <w:r w:rsidRPr="00466595">
        <w:rPr>
          <w:rFonts w:ascii="ＭＳ Ｐゴシック" w:eastAsia="ＭＳ Ｐゴシック" w:hAnsi="ＭＳ Ｐゴシック" w:hint="eastAsia"/>
          <w:b/>
          <w:sz w:val="24"/>
        </w:rPr>
        <w:t>について</w:t>
      </w:r>
    </w:p>
    <w:p w:rsidR="00C36D5C" w:rsidRPr="00CD5738" w:rsidRDefault="00C36D5C" w:rsidP="005561B4">
      <w:pPr>
        <w:ind w:firstLineChars="100" w:firstLine="210"/>
      </w:pPr>
    </w:p>
    <w:p w:rsidR="00BB0DED" w:rsidRDefault="005561B4">
      <w:r>
        <w:rPr>
          <w:rFonts w:hint="eastAsia"/>
        </w:rPr>
        <w:t xml:space="preserve">　</w:t>
      </w:r>
      <w:r w:rsidR="001804FC">
        <w:rPr>
          <w:rFonts w:hint="eastAsia"/>
        </w:rPr>
        <w:t>区ＣＭ自由経費及び</w:t>
      </w:r>
      <w:r>
        <w:rPr>
          <w:rFonts w:hint="eastAsia"/>
        </w:rPr>
        <w:t>区長</w:t>
      </w:r>
      <w:r w:rsidR="001804FC">
        <w:rPr>
          <w:rFonts w:hint="eastAsia"/>
        </w:rPr>
        <w:t>自由経費のうち、組替えが可能な予算であるキの</w:t>
      </w:r>
      <w:r w:rsidR="003925D5">
        <w:rPr>
          <w:rFonts w:hint="eastAsia"/>
        </w:rPr>
        <w:t>経費</w:t>
      </w:r>
      <w:r w:rsidR="001804FC">
        <w:rPr>
          <w:rFonts w:hint="eastAsia"/>
        </w:rPr>
        <w:t>７６億円</w:t>
      </w:r>
      <w:r>
        <w:rPr>
          <w:rFonts w:hint="eastAsia"/>
        </w:rPr>
        <w:t>については、基準財政需要額的な考え方により算定し</w:t>
      </w:r>
      <w:r w:rsidR="00CD5738">
        <w:rPr>
          <w:rFonts w:hint="eastAsia"/>
        </w:rPr>
        <w:t>各区に</w:t>
      </w:r>
    </w:p>
    <w:p w:rsidR="00CD5738" w:rsidRDefault="001804FC">
      <w:r>
        <w:rPr>
          <w:rFonts w:hint="eastAsia"/>
        </w:rPr>
        <w:t>財源</w:t>
      </w:r>
      <w:r w:rsidR="005561B4">
        <w:rPr>
          <w:rFonts w:hint="eastAsia"/>
        </w:rPr>
        <w:t>配分することと</w:t>
      </w:r>
      <w:r w:rsidR="00CD5738">
        <w:rPr>
          <w:rFonts w:hint="eastAsia"/>
        </w:rPr>
        <w:t>す</w:t>
      </w:r>
      <w:r w:rsidR="005561B4">
        <w:rPr>
          <w:rFonts w:hint="eastAsia"/>
        </w:rPr>
        <w:t>る。</w:t>
      </w:r>
    </w:p>
    <w:p w:rsidR="003C5A8F" w:rsidRDefault="00904DF4" w:rsidP="00CD5738">
      <w:pPr>
        <w:ind w:firstLineChars="100" w:firstLine="210"/>
      </w:pPr>
      <w:r>
        <w:rPr>
          <w:noProof/>
        </w:rPr>
        <w:pict>
          <v:rect id="_x0000_s1026" style="position:absolute;left:0;text-align:left;margin-left:391.5pt;margin-top:34.5pt;width:314.25pt;height:335.25pt;z-index:251658240" filled="f">
            <v:stroke dashstyle="1 1" endcap="round"/>
            <v:textbox inset="5.85pt,.7pt,5.85pt,.7pt">
              <w:txbxContent>
                <w:p w:rsidR="00AE4329" w:rsidRDefault="00AE4329" w:rsidP="00AE4329">
                  <w:pPr>
                    <w:rPr>
                      <w:sz w:val="22"/>
                    </w:rPr>
                  </w:pPr>
                </w:p>
                <w:p w:rsidR="00AE4329" w:rsidRDefault="00AE4329" w:rsidP="00AE4329">
                  <w:pPr>
                    <w:ind w:firstLineChars="100" w:firstLine="210"/>
                    <w:rPr>
                      <w:sz w:val="22"/>
                    </w:rPr>
                  </w:pPr>
                  <w:r>
                    <w:rPr>
                      <w:rFonts w:hint="eastAsia"/>
                    </w:rPr>
                    <w:t>国から各自治体への地方交付税算定のための基準財政需要額算定にかかる測定単位は次のとおり</w:t>
                  </w:r>
                </w:p>
                <w:p w:rsidR="00AE4329" w:rsidRDefault="00AE4329" w:rsidP="00AE4329">
                  <w:pPr>
                    <w:rPr>
                      <w:sz w:val="22"/>
                    </w:rPr>
                  </w:pPr>
                </w:p>
                <w:p w:rsidR="00AE4329" w:rsidRPr="005B52AA" w:rsidRDefault="00AE4329" w:rsidP="00AE4329">
                  <w:pPr>
                    <w:rPr>
                      <w:sz w:val="22"/>
                    </w:rPr>
                  </w:pPr>
                  <w:r w:rsidRPr="005B52AA">
                    <w:rPr>
                      <w:rFonts w:hint="eastAsia"/>
                      <w:sz w:val="22"/>
                    </w:rPr>
                    <w:t>【</w:t>
                  </w:r>
                  <w:r>
                    <w:rPr>
                      <w:rFonts w:hint="eastAsia"/>
                      <w:sz w:val="22"/>
                    </w:rPr>
                    <w:t>参考：基準財政需要</w:t>
                  </w:r>
                  <w:r w:rsidRPr="005B52AA">
                    <w:rPr>
                      <w:rFonts w:hint="eastAsia"/>
                      <w:sz w:val="22"/>
                    </w:rPr>
                    <w:t>額</w:t>
                  </w:r>
                  <w:r>
                    <w:rPr>
                      <w:rFonts w:hint="eastAsia"/>
                      <w:sz w:val="22"/>
                    </w:rPr>
                    <w:t>算定</w:t>
                  </w:r>
                  <w:r w:rsidRPr="005B52AA">
                    <w:rPr>
                      <w:rFonts w:hint="eastAsia"/>
                      <w:sz w:val="22"/>
                    </w:rPr>
                    <w:t>に</w:t>
                  </w:r>
                  <w:r>
                    <w:rPr>
                      <w:rFonts w:hint="eastAsia"/>
                      <w:sz w:val="22"/>
                    </w:rPr>
                    <w:t>かか</w:t>
                  </w:r>
                  <w:r w:rsidRPr="005B52AA">
                    <w:rPr>
                      <w:rFonts w:hint="eastAsia"/>
                      <w:sz w:val="22"/>
                    </w:rPr>
                    <w:t>る測定単位】</w:t>
                  </w:r>
                </w:p>
                <w:p w:rsidR="00AE4329" w:rsidRDefault="00AE4329" w:rsidP="00AE4329">
                  <w:r>
                    <w:rPr>
                      <w:rFonts w:hint="eastAsia"/>
                    </w:rPr>
                    <w:t xml:space="preserve">　　道路橋りょう　→　面積、延長</w:t>
                  </w:r>
                </w:p>
                <w:p w:rsidR="00AE4329" w:rsidRDefault="00AE4329" w:rsidP="00AE4329">
                  <w:r>
                    <w:rPr>
                      <w:rFonts w:hint="eastAsia"/>
                    </w:rPr>
                    <w:t xml:space="preserve">　　その他土木　　→　人口</w:t>
                  </w:r>
                </w:p>
                <w:p w:rsidR="00AE4329" w:rsidRDefault="00AE4329" w:rsidP="00AE4329">
                  <w:pPr>
                    <w:ind w:firstLineChars="200" w:firstLine="420"/>
                  </w:pPr>
                  <w:r>
                    <w:rPr>
                      <w:rFonts w:hint="eastAsia"/>
                    </w:rPr>
                    <w:t>公園　　　　　→　人口、面積</w:t>
                  </w:r>
                </w:p>
                <w:p w:rsidR="00AE4329" w:rsidRDefault="00AE4329" w:rsidP="00AE4329">
                  <w:r>
                    <w:rPr>
                      <w:rFonts w:hint="eastAsia"/>
                    </w:rPr>
                    <w:t xml:space="preserve">　　都市計画　　　→　都市計画圏人口</w:t>
                  </w:r>
                </w:p>
                <w:p w:rsidR="00AE4329" w:rsidRDefault="00AE4329" w:rsidP="00AE4329">
                  <w:r>
                    <w:rPr>
                      <w:rFonts w:hint="eastAsia"/>
                    </w:rPr>
                    <w:t xml:space="preserve">　　高齢者福祉　　→　</w:t>
                  </w:r>
                  <w:r>
                    <w:rPr>
                      <w:rFonts w:hint="eastAsia"/>
                    </w:rPr>
                    <w:t>65</w:t>
                  </w:r>
                  <w:r>
                    <w:rPr>
                      <w:rFonts w:hint="eastAsia"/>
                    </w:rPr>
                    <w:t>歳人口、</w:t>
                  </w:r>
                  <w:r>
                    <w:rPr>
                      <w:rFonts w:hint="eastAsia"/>
                    </w:rPr>
                    <w:t>75</w:t>
                  </w:r>
                  <w:r>
                    <w:rPr>
                      <w:rFonts w:hint="eastAsia"/>
                    </w:rPr>
                    <w:t>歳以上人口</w:t>
                  </w:r>
                </w:p>
                <w:p w:rsidR="00AE4329" w:rsidRDefault="00AE4329" w:rsidP="00AE4329">
                  <w:r>
                    <w:rPr>
                      <w:rFonts w:hint="eastAsia"/>
                    </w:rPr>
                    <w:t xml:space="preserve">　　地域振興　　　→　人口、面積</w:t>
                  </w:r>
                </w:p>
                <w:p w:rsidR="00AE4329" w:rsidRDefault="00AE4329" w:rsidP="00AE4329">
                  <w:r>
                    <w:rPr>
                      <w:rFonts w:hint="eastAsia"/>
                    </w:rPr>
                    <w:t xml:space="preserve">　　生活保護　　　→　人口</w:t>
                  </w:r>
                </w:p>
                <w:p w:rsidR="00AE4329" w:rsidRDefault="00AE4329" w:rsidP="00AE4329">
                  <w:r>
                    <w:rPr>
                      <w:rFonts w:hint="eastAsia"/>
                    </w:rPr>
                    <w:t xml:space="preserve">　　社会福祉　　　→　人口</w:t>
                  </w:r>
                </w:p>
                <w:p w:rsidR="00AE4329" w:rsidRDefault="00AE4329" w:rsidP="00AE4329">
                  <w:r>
                    <w:rPr>
                      <w:rFonts w:hint="eastAsia"/>
                    </w:rPr>
                    <w:t xml:space="preserve">　　保健衛生　　　→　人口</w:t>
                  </w:r>
                </w:p>
                <w:p w:rsidR="00AE4329" w:rsidRDefault="00AE4329" w:rsidP="00AE4329">
                  <w:r>
                    <w:rPr>
                      <w:rFonts w:hint="eastAsia"/>
                    </w:rPr>
                    <w:t xml:space="preserve">　　小学校　　　　→　児童数、学級数、学校数</w:t>
                  </w:r>
                </w:p>
                <w:p w:rsidR="00AE4329" w:rsidRDefault="00AE4329" w:rsidP="00AE4329">
                  <w:r>
                    <w:rPr>
                      <w:rFonts w:hint="eastAsia"/>
                    </w:rPr>
                    <w:t xml:space="preserve">　　中学校　　　　→　生徒数、学級数、学校数</w:t>
                  </w:r>
                </w:p>
                <w:p w:rsidR="00AE4329" w:rsidRDefault="00AE4329" w:rsidP="00AE4329">
                  <w:pPr>
                    <w:ind w:firstLineChars="100" w:firstLine="210"/>
                  </w:pPr>
                  <w:r>
                    <w:rPr>
                      <w:rFonts w:hint="eastAsia"/>
                    </w:rPr>
                    <w:t xml:space="preserve">　高等学校　　　→　教員数、生徒数　　　　　　など</w:t>
                  </w:r>
                </w:p>
                <w:p w:rsidR="00AE4329" w:rsidRPr="00AE4329" w:rsidRDefault="00AE4329"/>
              </w:txbxContent>
            </v:textbox>
          </v:rect>
        </w:pict>
      </w:r>
      <w:r w:rsidR="00CD5738">
        <w:rPr>
          <w:rFonts w:hint="eastAsia"/>
        </w:rPr>
        <w:t>そこで、次のとおり、</w:t>
      </w:r>
      <w:r w:rsidR="003925D5">
        <w:rPr>
          <w:rFonts w:hint="eastAsia"/>
        </w:rPr>
        <w:t>区長・区ＣＭ自由経費事業に関し、</w:t>
      </w:r>
      <w:r w:rsidR="004467F9">
        <w:rPr>
          <w:rFonts w:hint="eastAsia"/>
        </w:rPr>
        <w:t>施策事業目的ごとに区へ配分するための指標（測定単位</w:t>
      </w:r>
      <w:r w:rsidR="003C5A8F">
        <w:rPr>
          <w:rFonts w:hint="eastAsia"/>
        </w:rPr>
        <w:t>）を設定し、各区へ財源配分を行う。</w:t>
      </w:r>
    </w:p>
    <w:p w:rsidR="00794D33" w:rsidRPr="003925D5" w:rsidRDefault="00794D33" w:rsidP="004467F9">
      <w:pPr>
        <w:rPr>
          <w:rFonts w:ascii="ＭＳ Ｐゴシック" w:eastAsia="ＭＳ Ｐゴシック" w:hAnsi="ＭＳ Ｐゴシック"/>
        </w:rPr>
      </w:pPr>
    </w:p>
    <w:p w:rsidR="004467F9" w:rsidRPr="00FB6E13" w:rsidRDefault="00794D33" w:rsidP="004467F9">
      <w:pPr>
        <w:rPr>
          <w:rFonts w:ascii="ＭＳ Ｐゴシック" w:eastAsia="ＭＳ Ｐゴシック" w:hAnsi="ＭＳ Ｐゴシック"/>
          <w:sz w:val="22"/>
        </w:rPr>
      </w:pPr>
      <w:r w:rsidRPr="00FB6E13">
        <w:rPr>
          <w:rFonts w:ascii="ＭＳ Ｐゴシック" w:eastAsia="ＭＳ Ｐゴシック" w:hAnsi="ＭＳ Ｐゴシック" w:hint="eastAsia"/>
          <w:sz w:val="22"/>
        </w:rPr>
        <w:t>○</w:t>
      </w:r>
      <w:r w:rsidR="00C36D5C">
        <w:rPr>
          <w:rFonts w:ascii="ＭＳ Ｐゴシック" w:eastAsia="ＭＳ Ｐゴシック" w:hAnsi="ＭＳ Ｐゴシック" w:hint="eastAsia"/>
          <w:sz w:val="22"/>
        </w:rPr>
        <w:t>財源配分のための</w:t>
      </w:r>
      <w:r w:rsidRPr="00FB6E13">
        <w:rPr>
          <w:rFonts w:ascii="ＭＳ Ｐゴシック" w:eastAsia="ＭＳ Ｐゴシック" w:hAnsi="ＭＳ Ｐゴシック" w:hint="eastAsia"/>
          <w:sz w:val="22"/>
        </w:rPr>
        <w:t>具体的な</w:t>
      </w:r>
      <w:r w:rsidR="00CD5738">
        <w:rPr>
          <w:rFonts w:ascii="ＭＳ Ｐゴシック" w:eastAsia="ＭＳ Ｐゴシック" w:hAnsi="ＭＳ Ｐゴシック" w:hint="eastAsia"/>
          <w:sz w:val="22"/>
        </w:rPr>
        <w:t>指標</w:t>
      </w:r>
      <w:r w:rsidRPr="00FB6E13">
        <w:rPr>
          <w:rFonts w:ascii="ＭＳ Ｐゴシック" w:eastAsia="ＭＳ Ｐゴシック" w:hAnsi="ＭＳ Ｐゴシック" w:hint="eastAsia"/>
          <w:sz w:val="22"/>
        </w:rPr>
        <w:t>（測定単位）</w:t>
      </w:r>
    </w:p>
    <w:p w:rsidR="004467F9" w:rsidRPr="003925D5" w:rsidRDefault="004467F9" w:rsidP="004467F9">
      <w:r w:rsidRPr="003925D5">
        <w:rPr>
          <w:rFonts w:hint="eastAsia"/>
        </w:rPr>
        <w:t xml:space="preserve">　　道路：</w:t>
      </w:r>
      <w:r w:rsidR="004B6447">
        <w:rPr>
          <w:rFonts w:hint="eastAsia"/>
        </w:rPr>
        <w:t>道路</w:t>
      </w:r>
      <w:r w:rsidRPr="003925D5">
        <w:rPr>
          <w:rFonts w:hint="eastAsia"/>
        </w:rPr>
        <w:t>面積</w:t>
      </w:r>
    </w:p>
    <w:p w:rsidR="004467F9" w:rsidRPr="003925D5" w:rsidRDefault="004467F9" w:rsidP="004467F9">
      <w:r w:rsidRPr="003925D5">
        <w:rPr>
          <w:rFonts w:hint="eastAsia"/>
        </w:rPr>
        <w:t xml:space="preserve">　　公園：</w:t>
      </w:r>
      <w:r w:rsidR="004B6447">
        <w:rPr>
          <w:rFonts w:hint="eastAsia"/>
        </w:rPr>
        <w:t>公園</w:t>
      </w:r>
      <w:r w:rsidRPr="003925D5">
        <w:rPr>
          <w:rFonts w:hint="eastAsia"/>
        </w:rPr>
        <w:t>面積</w:t>
      </w:r>
    </w:p>
    <w:p w:rsidR="004467F9" w:rsidRPr="003925D5" w:rsidRDefault="004467F9" w:rsidP="004467F9">
      <w:r w:rsidRPr="003925D5">
        <w:rPr>
          <w:rFonts w:hint="eastAsia"/>
        </w:rPr>
        <w:t xml:space="preserve">　　高齢：６５歳以上人口</w:t>
      </w:r>
    </w:p>
    <w:p w:rsidR="004467F9" w:rsidRPr="003925D5" w:rsidRDefault="004467F9" w:rsidP="004467F9">
      <w:r w:rsidRPr="003925D5">
        <w:rPr>
          <w:rFonts w:hint="eastAsia"/>
        </w:rPr>
        <w:t xml:space="preserve">　　こども青少年：</w:t>
      </w:r>
      <w:r w:rsidR="001804FC">
        <w:rPr>
          <w:rFonts w:hint="eastAsia"/>
        </w:rPr>
        <w:t>１５</w:t>
      </w:r>
      <w:r w:rsidR="003925D5" w:rsidRPr="003925D5">
        <w:rPr>
          <w:rFonts w:hint="eastAsia"/>
        </w:rPr>
        <w:t>歳</w:t>
      </w:r>
      <w:r w:rsidR="005C17D4">
        <w:rPr>
          <w:rFonts w:hint="eastAsia"/>
        </w:rPr>
        <w:t>未満</w:t>
      </w:r>
      <w:r w:rsidR="003925D5" w:rsidRPr="003925D5">
        <w:rPr>
          <w:rFonts w:hint="eastAsia"/>
        </w:rPr>
        <w:t>人口</w:t>
      </w:r>
    </w:p>
    <w:p w:rsidR="00A049C9" w:rsidRPr="003925D5" w:rsidRDefault="00F129D9" w:rsidP="004467F9">
      <w:r w:rsidRPr="003925D5">
        <w:rPr>
          <w:rFonts w:hint="eastAsia"/>
        </w:rPr>
        <w:t xml:space="preserve">　　それ以外：人口（補正あり</w:t>
      </w:r>
      <w:r w:rsidR="004467F9" w:rsidRPr="003925D5">
        <w:rPr>
          <w:rFonts w:hint="eastAsia"/>
        </w:rPr>
        <w:t>）</w:t>
      </w:r>
    </w:p>
    <w:p w:rsidR="00794D33" w:rsidRPr="003925D5" w:rsidRDefault="00794D33">
      <w:pPr>
        <w:rPr>
          <w:rFonts w:ascii="ＭＳ Ｐゴシック" w:eastAsia="ＭＳ Ｐゴシック" w:hAnsi="ＭＳ Ｐゴシック"/>
        </w:rPr>
      </w:pPr>
    </w:p>
    <w:p w:rsidR="00A049C9" w:rsidRPr="003925D5" w:rsidRDefault="004467F9">
      <w:pPr>
        <w:rPr>
          <w:rFonts w:ascii="ＭＳ Ｐゴシック" w:eastAsia="ＭＳ Ｐゴシック" w:hAnsi="ＭＳ Ｐゴシック"/>
          <w:sz w:val="22"/>
        </w:rPr>
      </w:pPr>
      <w:r w:rsidRPr="003925D5">
        <w:rPr>
          <w:rFonts w:ascii="ＭＳ Ｐゴシック" w:eastAsia="ＭＳ Ｐゴシック" w:hAnsi="ＭＳ Ｐゴシック" w:hint="eastAsia"/>
          <w:sz w:val="22"/>
        </w:rPr>
        <w:t>○人口に対する補正の考え方</w:t>
      </w:r>
    </w:p>
    <w:p w:rsidR="004467F9" w:rsidRPr="003925D5" w:rsidRDefault="00AE4329" w:rsidP="004467F9">
      <w:pPr>
        <w:ind w:firstLineChars="100" w:firstLine="210"/>
      </w:pPr>
      <w:r>
        <w:rPr>
          <w:rFonts w:hint="eastAsia"/>
        </w:rPr>
        <w:t>【大阪市の特徴</w:t>
      </w:r>
      <w:r w:rsidR="004467F9" w:rsidRPr="003925D5">
        <w:rPr>
          <w:rFonts w:hint="eastAsia"/>
        </w:rPr>
        <w:t>】　昼間流入人口が多い（昼夜間人口比率が高い）</w:t>
      </w:r>
    </w:p>
    <w:p w:rsidR="004467F9" w:rsidRPr="003925D5" w:rsidRDefault="004467F9" w:rsidP="004467F9">
      <w:pPr>
        <w:ind w:firstLineChars="1000" w:firstLine="2100"/>
      </w:pPr>
      <w:r w:rsidRPr="003925D5">
        <w:rPr>
          <w:rFonts w:hint="eastAsia"/>
        </w:rPr>
        <w:t>特に多い区：北区、中央区、西区、天王寺区、浪速区</w:t>
      </w:r>
    </w:p>
    <w:p w:rsidR="00A049C9" w:rsidRDefault="004467F9" w:rsidP="004467F9">
      <w:pPr>
        <w:ind w:firstLineChars="100" w:firstLine="210"/>
      </w:pPr>
      <w:r w:rsidRPr="003925D5">
        <w:rPr>
          <w:rFonts w:hint="eastAsia"/>
        </w:rPr>
        <w:t>【</w:t>
      </w:r>
      <w:r w:rsidR="00F129D9" w:rsidRPr="003925D5">
        <w:rPr>
          <w:rFonts w:hint="eastAsia"/>
        </w:rPr>
        <w:t>補正の考え方</w:t>
      </w:r>
      <w:r w:rsidRPr="003925D5">
        <w:rPr>
          <w:rFonts w:hint="eastAsia"/>
        </w:rPr>
        <w:t xml:space="preserve">】　</w:t>
      </w:r>
      <w:r w:rsidR="00AE4329">
        <w:rPr>
          <w:rFonts w:hint="eastAsia"/>
        </w:rPr>
        <w:t>上記大阪市の特徴</w:t>
      </w:r>
      <w:r w:rsidR="00CD5738" w:rsidRPr="003925D5">
        <w:rPr>
          <w:rFonts w:hint="eastAsia"/>
        </w:rPr>
        <w:t>を踏まえ、</w:t>
      </w:r>
      <w:r w:rsidR="00AE4329">
        <w:rPr>
          <w:rFonts w:hint="eastAsia"/>
        </w:rPr>
        <w:t>昼</w:t>
      </w:r>
      <w:r w:rsidRPr="003925D5">
        <w:rPr>
          <w:rFonts w:hint="eastAsia"/>
        </w:rPr>
        <w:t>間</w:t>
      </w:r>
      <w:r w:rsidR="003925D5" w:rsidRPr="003925D5">
        <w:rPr>
          <w:rFonts w:hint="eastAsia"/>
        </w:rPr>
        <w:t>人口</w:t>
      </w:r>
      <w:r w:rsidR="00AE4329">
        <w:rPr>
          <w:rFonts w:hint="eastAsia"/>
        </w:rPr>
        <w:t>と夜間人口との比率</w:t>
      </w:r>
    </w:p>
    <w:p w:rsidR="00AE4329" w:rsidRDefault="00AE4329" w:rsidP="004467F9">
      <w:pPr>
        <w:ind w:firstLineChars="100" w:firstLine="210"/>
      </w:pPr>
      <w:r>
        <w:rPr>
          <w:rFonts w:hint="eastAsia"/>
        </w:rPr>
        <w:t xml:space="preserve">　　　　　　　　　を考慮して補正</w:t>
      </w:r>
    </w:p>
    <w:p w:rsidR="00780A84" w:rsidRDefault="00780A84" w:rsidP="00780A84"/>
    <w:p w:rsidR="00780A84" w:rsidRPr="00780A84" w:rsidRDefault="00780A84" w:rsidP="00780A84">
      <w:pPr>
        <w:rPr>
          <w:rFonts w:ascii="ＭＳ Ｐゴシック" w:eastAsia="ＭＳ Ｐゴシック" w:hAnsi="ＭＳ Ｐゴシック"/>
          <w:sz w:val="22"/>
        </w:rPr>
      </w:pPr>
      <w:r w:rsidRPr="00780A84">
        <w:rPr>
          <w:rFonts w:ascii="ＭＳ Ｐゴシック" w:eastAsia="ＭＳ Ｐゴシック" w:hAnsi="ＭＳ Ｐゴシック" w:hint="eastAsia"/>
          <w:sz w:val="22"/>
        </w:rPr>
        <w:t>○激変緩和措置</w:t>
      </w:r>
    </w:p>
    <w:p w:rsidR="00780A84" w:rsidRDefault="00AE4329" w:rsidP="00780A84">
      <w:r>
        <w:rPr>
          <w:rFonts w:hint="eastAsia"/>
        </w:rPr>
        <w:t xml:space="preserve">　各区の前年度予算額が明確にわかるものについては、</w:t>
      </w:r>
      <w:r w:rsidR="00780A84">
        <w:rPr>
          <w:rFonts w:hint="eastAsia"/>
        </w:rPr>
        <w:t>平成</w:t>
      </w:r>
      <w:r w:rsidR="00780A84">
        <w:rPr>
          <w:rFonts w:hint="eastAsia"/>
        </w:rPr>
        <w:t>25</w:t>
      </w:r>
      <w:r w:rsidR="00780A84">
        <w:rPr>
          <w:rFonts w:hint="eastAsia"/>
        </w:rPr>
        <w:t>年度に限り</w:t>
      </w:r>
    </w:p>
    <w:p w:rsidR="00AE4329" w:rsidRPr="00AE4329" w:rsidRDefault="00904DF4" w:rsidP="00780A84">
      <w:pPr>
        <w:ind w:firstLineChars="100" w:firstLine="210"/>
      </w:pPr>
      <w:r>
        <w:rPr>
          <w:noProof/>
        </w:rPr>
        <w:pict>
          <v:rect id="_x0000_s1028" style="position:absolute;left:0;text-align:left;margin-left:720.75pt;margin-top:63.75pt;width:27pt;height:66.75pt;z-index:251659264">
            <v:textbox style="layout-flow:vertical" inset="5.85pt,.7pt,5.85pt,.7pt">
              <w:txbxContent>
                <w:p w:rsidR="00714964" w:rsidRDefault="0007395A" w:rsidP="00714964">
                  <w:pPr>
                    <w:jc w:val="center"/>
                  </w:pPr>
                  <w:r>
                    <w:rPr>
                      <w:rFonts w:hint="eastAsia"/>
                    </w:rPr>
                    <w:t>資料１－５</w:t>
                  </w:r>
                </w:p>
              </w:txbxContent>
            </v:textbox>
          </v:rect>
        </w:pict>
      </w:r>
      <w:r w:rsidR="00AE4329">
        <w:rPr>
          <w:rFonts w:hint="eastAsia"/>
        </w:rPr>
        <w:t>激変</w:t>
      </w:r>
      <w:r w:rsidR="001804FC">
        <w:rPr>
          <w:rFonts w:hint="eastAsia"/>
        </w:rPr>
        <w:t>緩和措置を検討</w:t>
      </w:r>
      <w:r w:rsidR="00AE4329">
        <w:rPr>
          <w:rFonts w:hint="eastAsia"/>
        </w:rPr>
        <w:t>する</w:t>
      </w:r>
    </w:p>
    <w:sectPr w:rsidR="00AE4329" w:rsidRPr="00AE4329" w:rsidSect="0007395A">
      <w:headerReference w:type="even" r:id="rId7"/>
      <w:headerReference w:type="default" r:id="rId8"/>
      <w:footerReference w:type="even" r:id="rId9"/>
      <w:footerReference w:type="default" r:id="rId10"/>
      <w:headerReference w:type="first" r:id="rId11"/>
      <w:footerReference w:type="first" r:id="rId12"/>
      <w:pgSz w:w="16838" w:h="11906" w:orient="landscape"/>
      <w:pgMar w:top="1077" w:right="1440"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DF4" w:rsidRDefault="00904DF4" w:rsidP="0014084B">
      <w:r>
        <w:separator/>
      </w:r>
    </w:p>
  </w:endnote>
  <w:endnote w:type="continuationSeparator" w:id="0">
    <w:p w:rsidR="00904DF4" w:rsidRDefault="00904DF4" w:rsidP="0014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9D" w:rsidRDefault="008466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9D" w:rsidRDefault="008466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9D" w:rsidRDefault="00846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DF4" w:rsidRDefault="00904DF4" w:rsidP="0014084B">
      <w:r>
        <w:separator/>
      </w:r>
    </w:p>
  </w:footnote>
  <w:footnote w:type="continuationSeparator" w:id="0">
    <w:p w:rsidR="00904DF4" w:rsidRDefault="00904DF4" w:rsidP="0014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9D" w:rsidRDefault="008466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9D" w:rsidRDefault="008466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9D" w:rsidRDefault="00846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1B4"/>
    <w:rsid w:val="000043F1"/>
    <w:rsid w:val="0001175A"/>
    <w:rsid w:val="00032CA9"/>
    <w:rsid w:val="0007395A"/>
    <w:rsid w:val="00085F5F"/>
    <w:rsid w:val="000E26CC"/>
    <w:rsid w:val="0014084B"/>
    <w:rsid w:val="00152002"/>
    <w:rsid w:val="001777FA"/>
    <w:rsid w:val="001804FC"/>
    <w:rsid w:val="00371504"/>
    <w:rsid w:val="00375B26"/>
    <w:rsid w:val="003925D5"/>
    <w:rsid w:val="003C5A8F"/>
    <w:rsid w:val="003F450B"/>
    <w:rsid w:val="004467F9"/>
    <w:rsid w:val="00456CD0"/>
    <w:rsid w:val="00466595"/>
    <w:rsid w:val="00474E08"/>
    <w:rsid w:val="00480E72"/>
    <w:rsid w:val="004842B5"/>
    <w:rsid w:val="004B6447"/>
    <w:rsid w:val="004C2B4A"/>
    <w:rsid w:val="005561B4"/>
    <w:rsid w:val="00574121"/>
    <w:rsid w:val="005B52AA"/>
    <w:rsid w:val="005C17D4"/>
    <w:rsid w:val="005C1DFF"/>
    <w:rsid w:val="00616AB9"/>
    <w:rsid w:val="006556B6"/>
    <w:rsid w:val="006813C8"/>
    <w:rsid w:val="006F6D95"/>
    <w:rsid w:val="00714964"/>
    <w:rsid w:val="00762964"/>
    <w:rsid w:val="00780A84"/>
    <w:rsid w:val="00794D33"/>
    <w:rsid w:val="007974C8"/>
    <w:rsid w:val="007B057F"/>
    <w:rsid w:val="0080222B"/>
    <w:rsid w:val="0084669D"/>
    <w:rsid w:val="008931B3"/>
    <w:rsid w:val="008934FC"/>
    <w:rsid w:val="008B6431"/>
    <w:rsid w:val="008D23BA"/>
    <w:rsid w:val="008F4426"/>
    <w:rsid w:val="00904DF4"/>
    <w:rsid w:val="00943615"/>
    <w:rsid w:val="00946E58"/>
    <w:rsid w:val="009B0EB8"/>
    <w:rsid w:val="00A049C9"/>
    <w:rsid w:val="00A92237"/>
    <w:rsid w:val="00AB04C7"/>
    <w:rsid w:val="00AE4329"/>
    <w:rsid w:val="00AF1E9B"/>
    <w:rsid w:val="00B90F1D"/>
    <w:rsid w:val="00BB0DED"/>
    <w:rsid w:val="00BC2743"/>
    <w:rsid w:val="00BD388F"/>
    <w:rsid w:val="00BE6351"/>
    <w:rsid w:val="00C01185"/>
    <w:rsid w:val="00C02EB5"/>
    <w:rsid w:val="00C1038B"/>
    <w:rsid w:val="00C36D5C"/>
    <w:rsid w:val="00C7426E"/>
    <w:rsid w:val="00C90949"/>
    <w:rsid w:val="00CD5738"/>
    <w:rsid w:val="00CF6A18"/>
    <w:rsid w:val="00DD7922"/>
    <w:rsid w:val="00DF797E"/>
    <w:rsid w:val="00E151A9"/>
    <w:rsid w:val="00E73A05"/>
    <w:rsid w:val="00EB4D69"/>
    <w:rsid w:val="00F129D9"/>
    <w:rsid w:val="00F504BE"/>
    <w:rsid w:val="00F74D78"/>
    <w:rsid w:val="00F929CA"/>
    <w:rsid w:val="00FB6E13"/>
    <w:rsid w:val="00FC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4B"/>
    <w:pPr>
      <w:tabs>
        <w:tab w:val="center" w:pos="4252"/>
        <w:tab w:val="right" w:pos="8504"/>
      </w:tabs>
      <w:snapToGrid w:val="0"/>
    </w:pPr>
  </w:style>
  <w:style w:type="character" w:customStyle="1" w:styleId="a4">
    <w:name w:val="ヘッダー (文字)"/>
    <w:basedOn w:val="a0"/>
    <w:link w:val="a3"/>
    <w:uiPriority w:val="99"/>
    <w:rsid w:val="0014084B"/>
  </w:style>
  <w:style w:type="paragraph" w:styleId="a5">
    <w:name w:val="footer"/>
    <w:basedOn w:val="a"/>
    <w:link w:val="a6"/>
    <w:uiPriority w:val="99"/>
    <w:unhideWhenUsed/>
    <w:rsid w:val="0014084B"/>
    <w:pPr>
      <w:tabs>
        <w:tab w:val="center" w:pos="4252"/>
        <w:tab w:val="right" w:pos="8504"/>
      </w:tabs>
      <w:snapToGrid w:val="0"/>
    </w:pPr>
  </w:style>
  <w:style w:type="character" w:customStyle="1" w:styleId="a6">
    <w:name w:val="フッター (文字)"/>
    <w:basedOn w:val="a0"/>
    <w:link w:val="a5"/>
    <w:uiPriority w:val="99"/>
    <w:rsid w:val="0014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A7C0-63D6-496C-878C-029E5286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2022-10-17T07:35:00Z</dcterms:created>
  <dcterms:modified xsi:type="dcterms:W3CDTF">2022-10-17T07:35:00Z</dcterms:modified>
</cp:coreProperties>
</file>