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41" w:rsidRPr="00C70ECD" w:rsidRDefault="00C35403">
      <w:pPr>
        <w:rPr>
          <w:rFonts w:ascii="ＭＳ Ｐゴシック" w:eastAsia="ＭＳ Ｐゴシック" w:hAnsi="ＭＳ Ｐゴシック"/>
          <w:b/>
          <w:sz w:val="24"/>
          <w:u w:val="single"/>
        </w:rPr>
      </w:pPr>
      <w:bookmarkStart w:id="0" w:name="_GoBack"/>
      <w:bookmarkEnd w:id="0"/>
      <w:r w:rsidRPr="00C70ECD">
        <w:rPr>
          <w:rFonts w:ascii="ＭＳ Ｐゴシック" w:eastAsia="ＭＳ Ｐゴシック" w:hAnsi="ＭＳ Ｐゴシック" w:hint="eastAsia"/>
          <w:b/>
          <w:sz w:val="24"/>
          <w:u w:val="single"/>
        </w:rPr>
        <w:t>特定財源事業の</w:t>
      </w:r>
      <w:r w:rsidR="00C2766F" w:rsidRPr="00C70ECD">
        <w:rPr>
          <w:rFonts w:ascii="ＭＳ Ｐゴシック" w:eastAsia="ＭＳ Ｐゴシック" w:hAnsi="ＭＳ Ｐゴシック" w:hint="eastAsia"/>
          <w:b/>
          <w:sz w:val="24"/>
          <w:u w:val="single"/>
        </w:rPr>
        <w:t>財源配分の</w:t>
      </w:r>
      <w:r w:rsidRPr="00C70ECD">
        <w:rPr>
          <w:rFonts w:ascii="ＭＳ Ｐゴシック" w:eastAsia="ＭＳ Ｐゴシック" w:hAnsi="ＭＳ Ｐゴシック" w:hint="eastAsia"/>
          <w:b/>
          <w:sz w:val="24"/>
          <w:u w:val="single"/>
        </w:rPr>
        <w:t>考え方</w:t>
      </w:r>
      <w:r w:rsidR="00C2766F" w:rsidRPr="00C70ECD">
        <w:rPr>
          <w:rFonts w:ascii="ＭＳ Ｐゴシック" w:eastAsia="ＭＳ Ｐゴシック" w:hAnsi="ＭＳ Ｐゴシック" w:hint="eastAsia"/>
          <w:b/>
          <w:sz w:val="24"/>
          <w:u w:val="single"/>
        </w:rPr>
        <w:t>について</w:t>
      </w:r>
    </w:p>
    <w:p w:rsidR="00C35F32" w:rsidRDefault="00464C93">
      <w:r>
        <w:rPr>
          <w:rFonts w:hint="eastAsia"/>
        </w:rPr>
        <w:t xml:space="preserve">　使途の限定されていない一般財源に対して、使途が特定されている特定財源</w:t>
      </w:r>
      <w:r w:rsidR="009014B7">
        <w:rPr>
          <w:rFonts w:hint="eastAsia"/>
        </w:rPr>
        <w:t>があり、区シティ・マネージャーへの</w:t>
      </w:r>
      <w:r>
        <w:rPr>
          <w:rFonts w:hint="eastAsia"/>
        </w:rPr>
        <w:t>財源配分</w:t>
      </w:r>
      <w:r w:rsidR="009014B7">
        <w:rPr>
          <w:rFonts w:hint="eastAsia"/>
        </w:rPr>
        <w:t>は</w:t>
      </w:r>
      <w:r w:rsidR="006E2411">
        <w:rPr>
          <w:rFonts w:hint="eastAsia"/>
        </w:rPr>
        <w:t>一般財源である</w:t>
      </w:r>
      <w:r>
        <w:rPr>
          <w:rFonts w:hint="eastAsia"/>
        </w:rPr>
        <w:t>税等</w:t>
      </w:r>
    </w:p>
    <w:p w:rsidR="00C2766F" w:rsidRDefault="009014B7">
      <w:r>
        <w:rPr>
          <w:rFonts w:hint="eastAsia"/>
        </w:rPr>
        <w:t>ベースで行うことから、特定財源</w:t>
      </w:r>
      <w:r w:rsidR="00464C93">
        <w:rPr>
          <w:rFonts w:hint="eastAsia"/>
        </w:rPr>
        <w:t>との関係を整理する</w:t>
      </w:r>
      <w:r>
        <w:rPr>
          <w:rFonts w:hint="eastAsia"/>
        </w:rPr>
        <w:t>必要があり</w:t>
      </w:r>
      <w:r w:rsidR="006E2411">
        <w:rPr>
          <w:rFonts w:hint="eastAsia"/>
        </w:rPr>
        <w:t>、</w:t>
      </w:r>
      <w:r>
        <w:rPr>
          <w:rFonts w:hint="eastAsia"/>
        </w:rPr>
        <w:t>以下のとおり</w:t>
      </w:r>
      <w:r w:rsidR="006E2411">
        <w:rPr>
          <w:rFonts w:hint="eastAsia"/>
        </w:rPr>
        <w:t>考え方</w:t>
      </w:r>
      <w:r w:rsidR="00C70ECD">
        <w:rPr>
          <w:rFonts w:hint="eastAsia"/>
        </w:rPr>
        <w:t>を</w:t>
      </w:r>
      <w:r>
        <w:rPr>
          <w:rFonts w:hint="eastAsia"/>
        </w:rPr>
        <w:t>整理した。</w:t>
      </w:r>
    </w:p>
    <w:p w:rsidR="00464C93" w:rsidRDefault="00464C93"/>
    <w:tbl>
      <w:tblPr>
        <w:tblStyle w:val="a7"/>
        <w:tblW w:w="14142" w:type="dxa"/>
        <w:tblLook w:val="04A0" w:firstRow="1" w:lastRow="0" w:firstColumn="1" w:lastColumn="0" w:noHBand="0" w:noVBand="1"/>
      </w:tblPr>
      <w:tblGrid>
        <w:gridCol w:w="1809"/>
        <w:gridCol w:w="4253"/>
        <w:gridCol w:w="3685"/>
        <w:gridCol w:w="4395"/>
      </w:tblGrid>
      <w:tr w:rsidR="00A969BC" w:rsidTr="00284DEA">
        <w:tc>
          <w:tcPr>
            <w:tcW w:w="1809" w:type="dxa"/>
            <w:vAlign w:val="center"/>
          </w:tcPr>
          <w:p w:rsidR="00A969BC" w:rsidRDefault="00A969BC" w:rsidP="009527C5">
            <w:pPr>
              <w:jc w:val="center"/>
            </w:pPr>
            <w:r>
              <w:rPr>
                <w:rFonts w:hint="eastAsia"/>
              </w:rPr>
              <w:t>特定財源の名称</w:t>
            </w:r>
          </w:p>
        </w:tc>
        <w:tc>
          <w:tcPr>
            <w:tcW w:w="4253" w:type="dxa"/>
            <w:vAlign w:val="center"/>
          </w:tcPr>
          <w:p w:rsidR="00A969BC" w:rsidRDefault="00A969BC" w:rsidP="009527C5">
            <w:pPr>
              <w:jc w:val="center"/>
            </w:pPr>
            <w:r>
              <w:rPr>
                <w:rFonts w:hint="eastAsia"/>
              </w:rPr>
              <w:t>特定財源の内容・性質</w:t>
            </w:r>
          </w:p>
        </w:tc>
        <w:tc>
          <w:tcPr>
            <w:tcW w:w="8080" w:type="dxa"/>
            <w:gridSpan w:val="2"/>
            <w:vAlign w:val="center"/>
          </w:tcPr>
          <w:p w:rsidR="00A969BC" w:rsidRDefault="00A969BC" w:rsidP="009527C5">
            <w:pPr>
              <w:jc w:val="center"/>
            </w:pPr>
            <w:r>
              <w:rPr>
                <w:rFonts w:hint="eastAsia"/>
              </w:rPr>
              <w:t>財源配分（充て込み）の考え方</w:t>
            </w:r>
            <w:r w:rsidR="009527C5">
              <w:rPr>
                <w:rFonts w:hint="eastAsia"/>
              </w:rPr>
              <w:t>と留意点</w:t>
            </w:r>
          </w:p>
        </w:tc>
      </w:tr>
      <w:tr w:rsidR="009D0345" w:rsidRPr="009D0345" w:rsidTr="00284DEA">
        <w:tc>
          <w:tcPr>
            <w:tcW w:w="1809" w:type="dxa"/>
          </w:tcPr>
          <w:p w:rsidR="009D0345" w:rsidRDefault="009D0345">
            <w:r>
              <w:rPr>
                <w:rFonts w:hint="eastAsia"/>
              </w:rPr>
              <w:t>使用料</w:t>
            </w:r>
          </w:p>
        </w:tc>
        <w:tc>
          <w:tcPr>
            <w:tcW w:w="4253" w:type="dxa"/>
          </w:tcPr>
          <w:p w:rsidR="009D0345" w:rsidRDefault="009D0345">
            <w:r>
              <w:rPr>
                <w:rFonts w:hint="eastAsia"/>
              </w:rPr>
              <w:t>地方自治法に基づき、当該事業に関し、行政財産の使用又は公の施設の利用につき徴収できるもの</w:t>
            </w:r>
          </w:p>
        </w:tc>
        <w:tc>
          <w:tcPr>
            <w:tcW w:w="3685" w:type="dxa"/>
            <w:vMerge w:val="restart"/>
          </w:tcPr>
          <w:p w:rsidR="009D0345" w:rsidRDefault="009D0345" w:rsidP="001D465E">
            <w:r>
              <w:rPr>
                <w:rFonts w:hint="eastAsia"/>
              </w:rPr>
              <w:t>歳入見込み額の設定</w:t>
            </w:r>
            <w:r w:rsidR="00A51407">
              <w:rPr>
                <w:rFonts w:hint="eastAsia"/>
              </w:rPr>
              <w:t>について</w:t>
            </w:r>
            <w:r>
              <w:rPr>
                <w:rFonts w:hint="eastAsia"/>
              </w:rPr>
              <w:t>は</w:t>
            </w:r>
            <w:r w:rsidR="00A51407">
              <w:rPr>
                <w:rFonts w:hint="eastAsia"/>
              </w:rPr>
              <w:t>、当該事業</w:t>
            </w:r>
            <w:r>
              <w:rPr>
                <w:rFonts w:hint="eastAsia"/>
              </w:rPr>
              <w:t>局の説明を受けた上で区ごとに区ＣＭが</w:t>
            </w:r>
            <w:r w:rsidR="009527C5">
              <w:rPr>
                <w:rFonts w:hint="eastAsia"/>
              </w:rPr>
              <w:t>設定</w:t>
            </w:r>
            <w:r w:rsidR="00C64B20">
              <w:rPr>
                <w:rFonts w:hint="eastAsia"/>
              </w:rPr>
              <w:t>し、当該事業へ充当</w:t>
            </w:r>
          </w:p>
        </w:tc>
        <w:tc>
          <w:tcPr>
            <w:tcW w:w="4395" w:type="dxa"/>
            <w:vMerge w:val="restart"/>
          </w:tcPr>
          <w:p w:rsidR="009D0345" w:rsidRPr="001D465E" w:rsidRDefault="009D0345" w:rsidP="00A51407">
            <w:r>
              <w:rPr>
                <w:rFonts w:hint="eastAsia"/>
              </w:rPr>
              <w:t>高い歳入見込み額を設定すれば、その分充当する</w:t>
            </w:r>
            <w:r w:rsidR="00C908E5">
              <w:rPr>
                <w:rFonts w:hint="eastAsia"/>
              </w:rPr>
              <w:t>一般財源である</w:t>
            </w:r>
            <w:r>
              <w:rPr>
                <w:rFonts w:hint="eastAsia"/>
              </w:rPr>
              <w:t>税等額が減少し、</w:t>
            </w:r>
            <w:r w:rsidR="00C908E5">
              <w:rPr>
                <w:rFonts w:hint="eastAsia"/>
              </w:rPr>
              <w:t>他事業にその枠を回すことができる</w:t>
            </w:r>
            <w:r>
              <w:rPr>
                <w:rFonts w:hint="eastAsia"/>
              </w:rPr>
              <w:t>。ただし、歳入見込み額を確保できなければ、税等</w:t>
            </w:r>
            <w:r w:rsidR="00C908E5">
              <w:rPr>
                <w:rFonts w:hint="eastAsia"/>
              </w:rPr>
              <w:t>を当該事業の財源へ補てん</w:t>
            </w:r>
            <w:r w:rsidR="00A51407">
              <w:rPr>
                <w:rFonts w:hint="eastAsia"/>
              </w:rPr>
              <w:t>するか</w:t>
            </w:r>
            <w:r w:rsidR="00F7669E">
              <w:rPr>
                <w:rFonts w:hint="eastAsia"/>
              </w:rPr>
              <w:t>、当該事業における未収額相当の支出を制限する</w:t>
            </w:r>
            <w:r>
              <w:rPr>
                <w:rFonts w:hint="eastAsia"/>
              </w:rPr>
              <w:t>必要がある</w:t>
            </w:r>
          </w:p>
        </w:tc>
      </w:tr>
      <w:tr w:rsidR="009D0345" w:rsidRPr="00A969BC" w:rsidTr="00284DEA">
        <w:tc>
          <w:tcPr>
            <w:tcW w:w="1809" w:type="dxa"/>
          </w:tcPr>
          <w:p w:rsidR="009D0345" w:rsidRDefault="009D0345">
            <w:r>
              <w:rPr>
                <w:rFonts w:hint="eastAsia"/>
              </w:rPr>
              <w:t>手数料</w:t>
            </w:r>
          </w:p>
        </w:tc>
        <w:tc>
          <w:tcPr>
            <w:tcW w:w="4253" w:type="dxa"/>
          </w:tcPr>
          <w:p w:rsidR="009D0345" w:rsidRDefault="009D0345">
            <w:r>
              <w:rPr>
                <w:rFonts w:hint="eastAsia"/>
              </w:rPr>
              <w:t>地方自治法に基づき、当該事業に関し、特定の者のためにする事務につき徴収できるもの</w:t>
            </w:r>
          </w:p>
        </w:tc>
        <w:tc>
          <w:tcPr>
            <w:tcW w:w="3685" w:type="dxa"/>
            <w:vMerge/>
          </w:tcPr>
          <w:p w:rsidR="009D0345" w:rsidRDefault="009D0345" w:rsidP="005C1321"/>
        </w:tc>
        <w:tc>
          <w:tcPr>
            <w:tcW w:w="4395" w:type="dxa"/>
            <w:vMerge/>
          </w:tcPr>
          <w:p w:rsidR="009D0345" w:rsidRPr="001D465E" w:rsidRDefault="009D0345" w:rsidP="005C1321"/>
        </w:tc>
      </w:tr>
      <w:tr w:rsidR="009D0345" w:rsidRPr="00A969BC" w:rsidTr="00284DEA">
        <w:tc>
          <w:tcPr>
            <w:tcW w:w="1809" w:type="dxa"/>
          </w:tcPr>
          <w:p w:rsidR="009D0345" w:rsidRDefault="009D0345" w:rsidP="00C466CC">
            <w:r>
              <w:rPr>
                <w:rFonts w:hint="eastAsia"/>
              </w:rPr>
              <w:t>財産収入</w:t>
            </w:r>
          </w:p>
        </w:tc>
        <w:tc>
          <w:tcPr>
            <w:tcW w:w="4253" w:type="dxa"/>
          </w:tcPr>
          <w:p w:rsidR="009D0345" w:rsidRDefault="009D0345" w:rsidP="00A51407">
            <w:r>
              <w:rPr>
                <w:rFonts w:hint="eastAsia"/>
              </w:rPr>
              <w:t>当該事業に係る財産の運用によ</w:t>
            </w:r>
            <w:r w:rsidR="00A51407">
              <w:rPr>
                <w:rFonts w:hint="eastAsia"/>
              </w:rPr>
              <w:t>る</w:t>
            </w:r>
            <w:r>
              <w:rPr>
                <w:rFonts w:hint="eastAsia"/>
              </w:rPr>
              <w:t>財源</w:t>
            </w:r>
          </w:p>
        </w:tc>
        <w:tc>
          <w:tcPr>
            <w:tcW w:w="3685" w:type="dxa"/>
            <w:vMerge/>
          </w:tcPr>
          <w:p w:rsidR="009D0345" w:rsidRDefault="009D0345" w:rsidP="00C466CC"/>
        </w:tc>
        <w:tc>
          <w:tcPr>
            <w:tcW w:w="4395" w:type="dxa"/>
            <w:vMerge/>
          </w:tcPr>
          <w:p w:rsidR="009D0345" w:rsidRPr="001D465E" w:rsidRDefault="009D0345" w:rsidP="00C466CC"/>
        </w:tc>
      </w:tr>
      <w:tr w:rsidR="009D0345" w:rsidRPr="00A969BC" w:rsidTr="00284DEA">
        <w:tc>
          <w:tcPr>
            <w:tcW w:w="1809" w:type="dxa"/>
          </w:tcPr>
          <w:p w:rsidR="009D0345" w:rsidRDefault="009D0345" w:rsidP="00C466CC">
            <w:r>
              <w:rPr>
                <w:rFonts w:hint="eastAsia"/>
              </w:rPr>
              <w:t>財産売却代</w:t>
            </w:r>
          </w:p>
        </w:tc>
        <w:tc>
          <w:tcPr>
            <w:tcW w:w="4253" w:type="dxa"/>
          </w:tcPr>
          <w:p w:rsidR="009D0345" w:rsidRDefault="009D0345" w:rsidP="00A51407">
            <w:r>
              <w:rPr>
                <w:rFonts w:hint="eastAsia"/>
              </w:rPr>
              <w:t>当該事業に係る財産の売却に</w:t>
            </w:r>
            <w:r w:rsidR="00A51407">
              <w:rPr>
                <w:rFonts w:hint="eastAsia"/>
              </w:rPr>
              <w:t>よる</w:t>
            </w:r>
            <w:r>
              <w:rPr>
                <w:rFonts w:hint="eastAsia"/>
              </w:rPr>
              <w:t>財源</w:t>
            </w:r>
          </w:p>
        </w:tc>
        <w:tc>
          <w:tcPr>
            <w:tcW w:w="3685" w:type="dxa"/>
            <w:vMerge/>
          </w:tcPr>
          <w:p w:rsidR="009D0345" w:rsidRDefault="009D0345" w:rsidP="00C466CC"/>
        </w:tc>
        <w:tc>
          <w:tcPr>
            <w:tcW w:w="4395" w:type="dxa"/>
            <w:vMerge/>
          </w:tcPr>
          <w:p w:rsidR="009D0345" w:rsidRPr="001D465E" w:rsidRDefault="009D0345" w:rsidP="00C466CC"/>
        </w:tc>
      </w:tr>
      <w:tr w:rsidR="00A51407" w:rsidTr="00284DEA">
        <w:tc>
          <w:tcPr>
            <w:tcW w:w="1809" w:type="dxa"/>
          </w:tcPr>
          <w:p w:rsidR="00A51407" w:rsidRDefault="00A51407">
            <w:r>
              <w:rPr>
                <w:rFonts w:hint="eastAsia"/>
              </w:rPr>
              <w:t>国庫支出金</w:t>
            </w:r>
          </w:p>
        </w:tc>
        <w:tc>
          <w:tcPr>
            <w:tcW w:w="4253" w:type="dxa"/>
          </w:tcPr>
          <w:p w:rsidR="00A51407" w:rsidRDefault="00A51407" w:rsidP="009014B7">
            <w:r>
              <w:rPr>
                <w:rFonts w:hint="eastAsia"/>
              </w:rPr>
              <w:t>特定の事務事業に対して国から交付される給付金</w:t>
            </w:r>
          </w:p>
        </w:tc>
        <w:tc>
          <w:tcPr>
            <w:tcW w:w="3685" w:type="dxa"/>
            <w:vMerge w:val="restart"/>
          </w:tcPr>
          <w:p w:rsidR="00A51407" w:rsidRDefault="00A51407" w:rsidP="00A51407">
            <w:r>
              <w:rPr>
                <w:rFonts w:hint="eastAsia"/>
              </w:rPr>
              <w:t>国や大阪府の当該事業に係る交付のルールを踏まえて</w:t>
            </w:r>
            <w:r w:rsidR="009527C5">
              <w:rPr>
                <w:rFonts w:hint="eastAsia"/>
              </w:rPr>
              <w:t>充当</w:t>
            </w:r>
          </w:p>
        </w:tc>
        <w:tc>
          <w:tcPr>
            <w:tcW w:w="4395" w:type="dxa"/>
            <w:vMerge w:val="restart"/>
          </w:tcPr>
          <w:p w:rsidR="00A51407" w:rsidRDefault="00A51407" w:rsidP="001D465E">
            <w:r>
              <w:rPr>
                <w:rFonts w:hint="eastAsia"/>
              </w:rPr>
              <w:t>交付額の上限があるため、局において全体調整が必要</w:t>
            </w:r>
          </w:p>
          <w:p w:rsidR="00A51407" w:rsidRPr="00A969BC" w:rsidRDefault="00A51407" w:rsidP="001D465E">
            <w:r>
              <w:rPr>
                <w:rFonts w:hint="eastAsia"/>
              </w:rPr>
              <w:t>国・府への申請等の窓口は事業所管局</w:t>
            </w:r>
          </w:p>
        </w:tc>
      </w:tr>
      <w:tr w:rsidR="00A51407" w:rsidTr="00284DEA">
        <w:tc>
          <w:tcPr>
            <w:tcW w:w="1809" w:type="dxa"/>
          </w:tcPr>
          <w:p w:rsidR="00A51407" w:rsidRDefault="00A51407">
            <w:r>
              <w:rPr>
                <w:rFonts w:hint="eastAsia"/>
              </w:rPr>
              <w:t>府支出金</w:t>
            </w:r>
          </w:p>
        </w:tc>
        <w:tc>
          <w:tcPr>
            <w:tcW w:w="4253" w:type="dxa"/>
          </w:tcPr>
          <w:p w:rsidR="00A51407" w:rsidRDefault="00A51407" w:rsidP="009014B7">
            <w:r>
              <w:rPr>
                <w:rFonts w:hint="eastAsia"/>
              </w:rPr>
              <w:t>特定の事務事業に対して大阪府から交付される給付金</w:t>
            </w:r>
          </w:p>
        </w:tc>
        <w:tc>
          <w:tcPr>
            <w:tcW w:w="3685" w:type="dxa"/>
            <w:vMerge/>
          </w:tcPr>
          <w:p w:rsidR="00A51407" w:rsidRDefault="00A51407"/>
        </w:tc>
        <w:tc>
          <w:tcPr>
            <w:tcW w:w="4395" w:type="dxa"/>
            <w:vMerge/>
          </w:tcPr>
          <w:p w:rsidR="00A51407" w:rsidRDefault="00A51407" w:rsidP="000C5E99"/>
        </w:tc>
      </w:tr>
      <w:tr w:rsidR="009D0345" w:rsidTr="00284DEA">
        <w:tc>
          <w:tcPr>
            <w:tcW w:w="1809" w:type="dxa"/>
          </w:tcPr>
          <w:p w:rsidR="009D0345" w:rsidRDefault="009D0345">
            <w:r>
              <w:rPr>
                <w:rFonts w:hint="eastAsia"/>
              </w:rPr>
              <w:t>諸収入</w:t>
            </w:r>
          </w:p>
        </w:tc>
        <w:tc>
          <w:tcPr>
            <w:tcW w:w="4253" w:type="dxa"/>
          </w:tcPr>
          <w:p w:rsidR="009D0345" w:rsidRDefault="009D0345" w:rsidP="00A51407">
            <w:r>
              <w:rPr>
                <w:rFonts w:hint="eastAsia"/>
              </w:rPr>
              <w:t>その他、当該事業に係る収入（例</w:t>
            </w:r>
            <w:r w:rsidR="00A51407">
              <w:rPr>
                <w:rFonts w:hint="eastAsia"/>
              </w:rPr>
              <w:t>：</w:t>
            </w:r>
            <w:r>
              <w:rPr>
                <w:rFonts w:hint="eastAsia"/>
              </w:rPr>
              <w:t>保育所保育料）</w:t>
            </w:r>
          </w:p>
        </w:tc>
        <w:tc>
          <w:tcPr>
            <w:tcW w:w="3685" w:type="dxa"/>
          </w:tcPr>
          <w:p w:rsidR="009D0345" w:rsidRDefault="009527C5">
            <w:r>
              <w:rPr>
                <w:rFonts w:hint="eastAsia"/>
              </w:rPr>
              <w:t>各収入の性質に応じて、公平な充当</w:t>
            </w:r>
          </w:p>
        </w:tc>
        <w:tc>
          <w:tcPr>
            <w:tcW w:w="4395" w:type="dxa"/>
          </w:tcPr>
          <w:p w:rsidR="009D0345" w:rsidRDefault="009D0345"/>
        </w:tc>
      </w:tr>
      <w:tr w:rsidR="009D0345" w:rsidTr="00284DEA">
        <w:tc>
          <w:tcPr>
            <w:tcW w:w="1809" w:type="dxa"/>
          </w:tcPr>
          <w:p w:rsidR="009D0345" w:rsidRDefault="009D0345">
            <w:r>
              <w:rPr>
                <w:rFonts w:hint="eastAsia"/>
              </w:rPr>
              <w:t>起債</w:t>
            </w:r>
          </w:p>
        </w:tc>
        <w:tc>
          <w:tcPr>
            <w:tcW w:w="4253" w:type="dxa"/>
          </w:tcPr>
          <w:p w:rsidR="009D0345" w:rsidRDefault="009D0345">
            <w:r>
              <w:rPr>
                <w:rFonts w:hint="eastAsia"/>
              </w:rPr>
              <w:t>地方債の起債により調達する財源</w:t>
            </w:r>
          </w:p>
        </w:tc>
        <w:tc>
          <w:tcPr>
            <w:tcW w:w="3685" w:type="dxa"/>
          </w:tcPr>
          <w:p w:rsidR="009D0345" w:rsidRDefault="009527C5" w:rsidP="009527C5">
            <w:r>
              <w:rPr>
                <w:rFonts w:hint="eastAsia"/>
              </w:rPr>
              <w:t>起債が認められた事業への</w:t>
            </w:r>
            <w:r w:rsidR="009D0345">
              <w:rPr>
                <w:rFonts w:hint="eastAsia"/>
              </w:rPr>
              <w:t>財源</w:t>
            </w:r>
            <w:r>
              <w:rPr>
                <w:rFonts w:hint="eastAsia"/>
              </w:rPr>
              <w:t>であり</w:t>
            </w:r>
            <w:r w:rsidR="009D0345">
              <w:rPr>
                <w:rFonts w:hint="eastAsia"/>
              </w:rPr>
              <w:t>国のルールによ</w:t>
            </w:r>
            <w:r>
              <w:rPr>
                <w:rFonts w:hint="eastAsia"/>
              </w:rPr>
              <w:t>り充当</w:t>
            </w:r>
          </w:p>
        </w:tc>
        <w:tc>
          <w:tcPr>
            <w:tcW w:w="4395" w:type="dxa"/>
          </w:tcPr>
          <w:p w:rsidR="00DD4487" w:rsidRDefault="00DD4487" w:rsidP="000C5E99">
            <w:r>
              <w:rPr>
                <w:rFonts w:hint="eastAsia"/>
              </w:rPr>
              <w:t>市</w:t>
            </w:r>
            <w:r w:rsidR="00A51407">
              <w:rPr>
                <w:rFonts w:hint="eastAsia"/>
              </w:rPr>
              <w:t>全体の起債</w:t>
            </w:r>
            <w:r>
              <w:rPr>
                <w:rFonts w:hint="eastAsia"/>
              </w:rPr>
              <w:t>発行</w:t>
            </w:r>
            <w:r w:rsidR="009014B7">
              <w:rPr>
                <w:rFonts w:hint="eastAsia"/>
              </w:rPr>
              <w:t>を予定額の</w:t>
            </w:r>
            <w:r>
              <w:rPr>
                <w:rFonts w:hint="eastAsia"/>
              </w:rPr>
              <w:t>範囲</w:t>
            </w:r>
            <w:r w:rsidR="00A51407">
              <w:rPr>
                <w:rFonts w:hint="eastAsia"/>
              </w:rPr>
              <w:t>で</w:t>
            </w:r>
            <w:r>
              <w:rPr>
                <w:rFonts w:hint="eastAsia"/>
              </w:rPr>
              <w:t>局</w:t>
            </w:r>
            <w:r w:rsidR="00A51407">
              <w:rPr>
                <w:rFonts w:hint="eastAsia"/>
              </w:rPr>
              <w:t>において</w:t>
            </w:r>
            <w:r>
              <w:rPr>
                <w:rFonts w:hint="eastAsia"/>
              </w:rPr>
              <w:t>調整</w:t>
            </w:r>
          </w:p>
        </w:tc>
      </w:tr>
      <w:tr w:rsidR="009D0345" w:rsidTr="00284DEA">
        <w:tc>
          <w:tcPr>
            <w:tcW w:w="1809" w:type="dxa"/>
          </w:tcPr>
          <w:p w:rsidR="009D0345" w:rsidRDefault="009D0345">
            <w:r>
              <w:rPr>
                <w:rFonts w:hint="eastAsia"/>
              </w:rPr>
              <w:t>基金</w:t>
            </w:r>
          </w:p>
          <w:p w:rsidR="009527C5" w:rsidRDefault="009527C5"/>
        </w:tc>
        <w:tc>
          <w:tcPr>
            <w:tcW w:w="4253" w:type="dxa"/>
          </w:tcPr>
          <w:p w:rsidR="009D0345" w:rsidRDefault="009D0345" w:rsidP="00A969BC">
            <w:r>
              <w:rPr>
                <w:rFonts w:hint="eastAsia"/>
              </w:rPr>
              <w:t>基金及び運用益による財源</w:t>
            </w:r>
          </w:p>
        </w:tc>
        <w:tc>
          <w:tcPr>
            <w:tcW w:w="3685" w:type="dxa"/>
          </w:tcPr>
          <w:p w:rsidR="009D0345" w:rsidRDefault="009527C5" w:rsidP="009527C5">
            <w:r>
              <w:rPr>
                <w:rFonts w:hint="eastAsia"/>
              </w:rPr>
              <w:t>基金の目的に合致する特定の事業に対して基金を充当</w:t>
            </w:r>
          </w:p>
        </w:tc>
        <w:tc>
          <w:tcPr>
            <w:tcW w:w="4395" w:type="dxa"/>
          </w:tcPr>
          <w:p w:rsidR="009D0345" w:rsidRDefault="00014461" w:rsidP="00A06B95">
            <w:r>
              <w:rPr>
                <w:noProof/>
              </w:rPr>
              <w:pict>
                <v:rect id="_x0000_s1026" style="position:absolute;left:0;text-align:left;margin-left:229.95pt;margin-top:53.65pt;width:27pt;height:66.75pt;z-index:251658240;mso-position-horizontal-relative:text;mso-position-vertical-relative:text">
                  <v:textbox style="layout-flow:vertical" inset="5.85pt,.7pt,5.85pt,.7pt">
                    <w:txbxContent>
                      <w:p w:rsidR="00C35F32" w:rsidRDefault="00C35F32" w:rsidP="00C35F32">
                        <w:pPr>
                          <w:jc w:val="center"/>
                        </w:pPr>
                        <w:r>
                          <w:rPr>
                            <w:rFonts w:hint="eastAsia"/>
                          </w:rPr>
                          <w:t>資料１－６</w:t>
                        </w:r>
                      </w:p>
                    </w:txbxContent>
                  </v:textbox>
                </v:rect>
              </w:pict>
            </w:r>
            <w:r w:rsidR="009527C5">
              <w:rPr>
                <w:rFonts w:hint="eastAsia"/>
              </w:rPr>
              <w:t>どの事業にどの程度の財源を充てるのかは基金管理所属が決定するため、</w:t>
            </w:r>
            <w:r w:rsidR="00A06B95">
              <w:rPr>
                <w:rFonts w:hint="eastAsia"/>
              </w:rPr>
              <w:t>基金管理所属と調整</w:t>
            </w:r>
          </w:p>
        </w:tc>
      </w:tr>
    </w:tbl>
    <w:p w:rsidR="00C2766F" w:rsidRPr="00A06B95" w:rsidRDefault="009527C5">
      <w:r>
        <w:rPr>
          <w:rFonts w:hint="eastAsia"/>
        </w:rPr>
        <w:t>※他の特定財源としては、寄付金、繰入金などがある。</w:t>
      </w:r>
    </w:p>
    <w:sectPr w:rsidR="00C2766F" w:rsidRPr="00A06B95" w:rsidSect="00C35F32">
      <w:headerReference w:type="even" r:id="rId6"/>
      <w:headerReference w:type="default" r:id="rId7"/>
      <w:footerReference w:type="even" r:id="rId8"/>
      <w:footerReference w:type="default" r:id="rId9"/>
      <w:headerReference w:type="first" r:id="rId10"/>
      <w:footerReference w:type="first" r:id="rId11"/>
      <w:pgSz w:w="16838" w:h="11906" w:orient="landscape"/>
      <w:pgMar w:top="1077" w:right="1440"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461" w:rsidRDefault="00014461" w:rsidP="00C2766F">
      <w:r>
        <w:separator/>
      </w:r>
    </w:p>
  </w:endnote>
  <w:endnote w:type="continuationSeparator" w:id="0">
    <w:p w:rsidR="00014461" w:rsidRDefault="00014461" w:rsidP="00C2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4" w:rsidRDefault="00F334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4" w:rsidRDefault="00F334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4" w:rsidRDefault="00F334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461" w:rsidRDefault="00014461" w:rsidP="00C2766F">
      <w:r>
        <w:separator/>
      </w:r>
    </w:p>
  </w:footnote>
  <w:footnote w:type="continuationSeparator" w:id="0">
    <w:p w:rsidR="00014461" w:rsidRDefault="00014461" w:rsidP="00C27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4" w:rsidRDefault="00F334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4" w:rsidRDefault="00F334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4" w:rsidRDefault="00F334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766F"/>
    <w:rsid w:val="00014461"/>
    <w:rsid w:val="00036E1B"/>
    <w:rsid w:val="00040A85"/>
    <w:rsid w:val="00042150"/>
    <w:rsid w:val="00070707"/>
    <w:rsid w:val="000948C1"/>
    <w:rsid w:val="000B7460"/>
    <w:rsid w:val="000C564B"/>
    <w:rsid w:val="000C5E99"/>
    <w:rsid w:val="001153D5"/>
    <w:rsid w:val="0013296A"/>
    <w:rsid w:val="0013627A"/>
    <w:rsid w:val="001A3356"/>
    <w:rsid w:val="001B50CD"/>
    <w:rsid w:val="001C0D9B"/>
    <w:rsid w:val="001C5CAA"/>
    <w:rsid w:val="001D465E"/>
    <w:rsid w:val="001E0AFF"/>
    <w:rsid w:val="001E1015"/>
    <w:rsid w:val="001F5882"/>
    <w:rsid w:val="0020178E"/>
    <w:rsid w:val="002336A8"/>
    <w:rsid w:val="002529F5"/>
    <w:rsid w:val="00256CDF"/>
    <w:rsid w:val="00261A10"/>
    <w:rsid w:val="00284DEA"/>
    <w:rsid w:val="002878C3"/>
    <w:rsid w:val="002A73CF"/>
    <w:rsid w:val="002D65D7"/>
    <w:rsid w:val="002E2816"/>
    <w:rsid w:val="0031252B"/>
    <w:rsid w:val="00330249"/>
    <w:rsid w:val="00334A18"/>
    <w:rsid w:val="00344DFB"/>
    <w:rsid w:val="003774A7"/>
    <w:rsid w:val="003A4F7C"/>
    <w:rsid w:val="003A6A0F"/>
    <w:rsid w:val="003B2C52"/>
    <w:rsid w:val="003C0094"/>
    <w:rsid w:val="003D0511"/>
    <w:rsid w:val="003E5206"/>
    <w:rsid w:val="004102C7"/>
    <w:rsid w:val="00415506"/>
    <w:rsid w:val="00416DB6"/>
    <w:rsid w:val="00422F05"/>
    <w:rsid w:val="00424A24"/>
    <w:rsid w:val="00464C93"/>
    <w:rsid w:val="00482DD0"/>
    <w:rsid w:val="00484BAD"/>
    <w:rsid w:val="00491A92"/>
    <w:rsid w:val="004E04D1"/>
    <w:rsid w:val="00547350"/>
    <w:rsid w:val="00581A93"/>
    <w:rsid w:val="00585453"/>
    <w:rsid w:val="005A53AC"/>
    <w:rsid w:val="005D28B0"/>
    <w:rsid w:val="005D6A2C"/>
    <w:rsid w:val="005E4394"/>
    <w:rsid w:val="005F35FF"/>
    <w:rsid w:val="006144CE"/>
    <w:rsid w:val="00620D2F"/>
    <w:rsid w:val="00642DB2"/>
    <w:rsid w:val="00686F0D"/>
    <w:rsid w:val="006E2411"/>
    <w:rsid w:val="007150DC"/>
    <w:rsid w:val="00722FA4"/>
    <w:rsid w:val="00724129"/>
    <w:rsid w:val="007A5229"/>
    <w:rsid w:val="007D5604"/>
    <w:rsid w:val="007F59AD"/>
    <w:rsid w:val="00815CC0"/>
    <w:rsid w:val="00821CB1"/>
    <w:rsid w:val="00831BE3"/>
    <w:rsid w:val="00844649"/>
    <w:rsid w:val="00851D6C"/>
    <w:rsid w:val="00877FC5"/>
    <w:rsid w:val="008B61BB"/>
    <w:rsid w:val="008C07C0"/>
    <w:rsid w:val="008D5113"/>
    <w:rsid w:val="008E371F"/>
    <w:rsid w:val="009014B7"/>
    <w:rsid w:val="009364DE"/>
    <w:rsid w:val="009527C5"/>
    <w:rsid w:val="00957FEB"/>
    <w:rsid w:val="00960B2A"/>
    <w:rsid w:val="00970F43"/>
    <w:rsid w:val="009B100C"/>
    <w:rsid w:val="009B73B4"/>
    <w:rsid w:val="009D0345"/>
    <w:rsid w:val="009F5B61"/>
    <w:rsid w:val="00A06B95"/>
    <w:rsid w:val="00A17732"/>
    <w:rsid w:val="00A51407"/>
    <w:rsid w:val="00A969BC"/>
    <w:rsid w:val="00AC73FE"/>
    <w:rsid w:val="00B078B6"/>
    <w:rsid w:val="00B20624"/>
    <w:rsid w:val="00B25662"/>
    <w:rsid w:val="00B3551A"/>
    <w:rsid w:val="00B74E80"/>
    <w:rsid w:val="00B85784"/>
    <w:rsid w:val="00BB003E"/>
    <w:rsid w:val="00BB713C"/>
    <w:rsid w:val="00BF57FD"/>
    <w:rsid w:val="00C25780"/>
    <w:rsid w:val="00C2766F"/>
    <w:rsid w:val="00C35403"/>
    <w:rsid w:val="00C35F32"/>
    <w:rsid w:val="00C51B3E"/>
    <w:rsid w:val="00C64B20"/>
    <w:rsid w:val="00C657FF"/>
    <w:rsid w:val="00C70ECD"/>
    <w:rsid w:val="00C80B28"/>
    <w:rsid w:val="00C908E5"/>
    <w:rsid w:val="00D474B6"/>
    <w:rsid w:val="00D76F27"/>
    <w:rsid w:val="00DA72C5"/>
    <w:rsid w:val="00DC254A"/>
    <w:rsid w:val="00DD440B"/>
    <w:rsid w:val="00DD4487"/>
    <w:rsid w:val="00DE11A1"/>
    <w:rsid w:val="00DE3728"/>
    <w:rsid w:val="00DF5435"/>
    <w:rsid w:val="00E42A09"/>
    <w:rsid w:val="00E5648E"/>
    <w:rsid w:val="00E645BC"/>
    <w:rsid w:val="00E72143"/>
    <w:rsid w:val="00E9695C"/>
    <w:rsid w:val="00EB4D2E"/>
    <w:rsid w:val="00ED0008"/>
    <w:rsid w:val="00F078F1"/>
    <w:rsid w:val="00F150D2"/>
    <w:rsid w:val="00F15E91"/>
    <w:rsid w:val="00F334B4"/>
    <w:rsid w:val="00F46F64"/>
    <w:rsid w:val="00F531B5"/>
    <w:rsid w:val="00F65236"/>
    <w:rsid w:val="00F7669E"/>
    <w:rsid w:val="00F937B8"/>
    <w:rsid w:val="00FB0F47"/>
    <w:rsid w:val="00FB2570"/>
    <w:rsid w:val="00FD149C"/>
    <w:rsid w:val="00FE63D1"/>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66F"/>
    <w:pPr>
      <w:tabs>
        <w:tab w:val="center" w:pos="4252"/>
        <w:tab w:val="right" w:pos="8504"/>
      </w:tabs>
      <w:snapToGrid w:val="0"/>
    </w:pPr>
  </w:style>
  <w:style w:type="character" w:customStyle="1" w:styleId="a4">
    <w:name w:val="ヘッダー (文字)"/>
    <w:basedOn w:val="a0"/>
    <w:link w:val="a3"/>
    <w:uiPriority w:val="99"/>
    <w:rsid w:val="00C2766F"/>
  </w:style>
  <w:style w:type="paragraph" w:styleId="a5">
    <w:name w:val="footer"/>
    <w:basedOn w:val="a"/>
    <w:link w:val="a6"/>
    <w:uiPriority w:val="99"/>
    <w:unhideWhenUsed/>
    <w:rsid w:val="00C2766F"/>
    <w:pPr>
      <w:tabs>
        <w:tab w:val="center" w:pos="4252"/>
        <w:tab w:val="right" w:pos="8504"/>
      </w:tabs>
      <w:snapToGrid w:val="0"/>
    </w:pPr>
  </w:style>
  <w:style w:type="character" w:customStyle="1" w:styleId="a6">
    <w:name w:val="フッター (文字)"/>
    <w:basedOn w:val="a0"/>
    <w:link w:val="a5"/>
    <w:uiPriority w:val="99"/>
    <w:rsid w:val="00C2766F"/>
  </w:style>
  <w:style w:type="table" w:styleId="a7">
    <w:name w:val="Table Grid"/>
    <w:basedOn w:val="a1"/>
    <w:uiPriority w:val="59"/>
    <w:rsid w:val="00C2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2022-10-17T07:42:00Z</dcterms:created>
  <dcterms:modified xsi:type="dcterms:W3CDTF">2022-10-17T07:42:00Z</dcterms:modified>
</cp:coreProperties>
</file>