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2AA" w:rsidRPr="00466595" w:rsidRDefault="00D910D6" w:rsidP="005B52AA">
      <w:pPr>
        <w:rPr>
          <w:rFonts w:ascii="ＭＳ Ｐゴシック" w:eastAsia="ＭＳ Ｐゴシック" w:hAnsi="ＭＳ Ｐゴシック"/>
          <w:b/>
          <w:sz w:val="24"/>
        </w:rPr>
      </w:pPr>
      <w:bookmarkStart w:id="0" w:name="_GoBack"/>
      <w:bookmarkEnd w:id="0"/>
      <w:r>
        <w:rPr>
          <w:rFonts w:ascii="ＭＳ Ｐゴシック" w:eastAsia="ＭＳ Ｐゴシック" w:hAnsi="ＭＳ Ｐゴシック" w:hint="eastAsia"/>
          <w:b/>
          <w:sz w:val="24"/>
        </w:rPr>
        <w:t>歳入確保に向けたインセンティブの拡充及び区長重点施策経費</w:t>
      </w:r>
      <w:r w:rsidR="005B52AA" w:rsidRPr="00466595">
        <w:rPr>
          <w:rFonts w:ascii="ＭＳ Ｐゴシック" w:eastAsia="ＭＳ Ｐゴシック" w:hAnsi="ＭＳ Ｐゴシック" w:hint="eastAsia"/>
          <w:b/>
          <w:sz w:val="24"/>
        </w:rPr>
        <w:t>について</w:t>
      </w:r>
    </w:p>
    <w:p w:rsidR="00794D33" w:rsidRDefault="00794D33" w:rsidP="004467F9"/>
    <w:p w:rsidR="00A13AAE" w:rsidRPr="00BB79C5" w:rsidRDefault="00A13AAE" w:rsidP="004467F9">
      <w:pPr>
        <w:rPr>
          <w:rFonts w:asciiTheme="minorEastAsia" w:hAnsiTheme="minorEastAsia"/>
        </w:rPr>
      </w:pPr>
      <w:r w:rsidRPr="00BB79C5">
        <w:rPr>
          <w:rFonts w:asciiTheme="minorEastAsia" w:hAnsiTheme="minorEastAsia" w:hint="eastAsia"/>
        </w:rPr>
        <w:t>○</w:t>
      </w:r>
      <w:r w:rsidRPr="00BB79C5">
        <w:rPr>
          <w:rFonts w:asciiTheme="minorEastAsia" w:hAnsiTheme="minorEastAsia" w:hint="eastAsia"/>
          <w:sz w:val="24"/>
        </w:rPr>
        <w:t>歳入確保に向けたインセンティブの拡充について</w:t>
      </w:r>
    </w:p>
    <w:p w:rsidR="00B93C92" w:rsidRDefault="00565748" w:rsidP="004467F9">
      <w:pPr>
        <w:rPr>
          <w:sz w:val="22"/>
        </w:rPr>
      </w:pPr>
      <w:r>
        <w:rPr>
          <w:noProof/>
          <w:sz w:val="22"/>
        </w:rPr>
        <w:pict>
          <v:rect id="_x0000_s1026" style="position:absolute;left:0;text-align:left;margin-left:720.75pt;margin-top:379.25pt;width:27pt;height:66.75pt;z-index:251658240">
            <v:textbox style="layout-flow:vertical" inset="5.85pt,.7pt,5.85pt,.7pt">
              <w:txbxContent>
                <w:p w:rsidR="00B31C37" w:rsidRDefault="00B31C37" w:rsidP="00B31C37">
                  <w:pPr>
                    <w:jc w:val="center"/>
                  </w:pPr>
                  <w:r>
                    <w:rPr>
                      <w:rFonts w:hint="eastAsia"/>
                    </w:rPr>
                    <w:t>資料１－７</w:t>
                  </w:r>
                </w:p>
              </w:txbxContent>
            </v:textbox>
          </v:rect>
        </w:pict>
      </w:r>
      <w:r w:rsidR="00760C9E">
        <w:rPr>
          <w:rFonts w:hint="eastAsia"/>
          <w:sz w:val="22"/>
        </w:rPr>
        <w:t xml:space="preserve">　未利用地売却促進インセンティブに関して、現行、局側にしかないインセンティブを、区長の努力により売却が図られたものについて、</w:t>
      </w:r>
    </w:p>
    <w:p w:rsidR="00A13AAE" w:rsidRDefault="00760C9E" w:rsidP="00B93C92">
      <w:pPr>
        <w:rPr>
          <w:sz w:val="22"/>
        </w:rPr>
      </w:pPr>
      <w:r>
        <w:rPr>
          <w:rFonts w:hint="eastAsia"/>
          <w:sz w:val="22"/>
        </w:rPr>
        <w:t>区長へのインセンティブが働くよう、その割合などを検討中である。</w:t>
      </w:r>
    </w:p>
    <w:p w:rsidR="00B93C92" w:rsidRDefault="00760C9E" w:rsidP="004467F9">
      <w:pPr>
        <w:rPr>
          <w:sz w:val="22"/>
        </w:rPr>
      </w:pPr>
      <w:r>
        <w:rPr>
          <w:rFonts w:hint="eastAsia"/>
          <w:sz w:val="22"/>
        </w:rPr>
        <w:t xml:space="preserve">　また、未利用地の有効活用によるインセンティブや、広告収入、庁舎の目的外使用料などの税外収入確保できたものについて</w:t>
      </w:r>
      <w:r w:rsidR="00886EA0">
        <w:rPr>
          <w:rFonts w:hint="eastAsia"/>
          <w:sz w:val="22"/>
        </w:rPr>
        <w:t>も各区長の</w:t>
      </w:r>
    </w:p>
    <w:p w:rsidR="00760C9E" w:rsidRPr="00760C9E" w:rsidRDefault="00886EA0" w:rsidP="00B93C92">
      <w:pPr>
        <w:rPr>
          <w:sz w:val="22"/>
        </w:rPr>
      </w:pPr>
      <w:r>
        <w:rPr>
          <w:rFonts w:hint="eastAsia"/>
          <w:sz w:val="22"/>
        </w:rPr>
        <w:t>努力が財源に反映される</w:t>
      </w:r>
      <w:r w:rsidR="00760C9E">
        <w:rPr>
          <w:rFonts w:hint="eastAsia"/>
          <w:sz w:val="22"/>
        </w:rPr>
        <w:t>仕組みを検討中である。</w:t>
      </w:r>
    </w:p>
    <w:p w:rsidR="00A13AAE" w:rsidRPr="00B93C92" w:rsidRDefault="00A13AAE" w:rsidP="004467F9">
      <w:pPr>
        <w:rPr>
          <w:sz w:val="22"/>
        </w:rPr>
      </w:pPr>
    </w:p>
    <w:p w:rsidR="00A13AAE" w:rsidRPr="00BB79C5" w:rsidRDefault="00A13AAE" w:rsidP="004467F9">
      <w:pPr>
        <w:rPr>
          <w:sz w:val="24"/>
          <w:szCs w:val="24"/>
        </w:rPr>
      </w:pPr>
      <w:r w:rsidRPr="00BB79C5">
        <w:rPr>
          <w:rFonts w:hint="eastAsia"/>
          <w:sz w:val="24"/>
          <w:szCs w:val="24"/>
        </w:rPr>
        <w:t>○区長重点施策経費について</w:t>
      </w:r>
    </w:p>
    <w:p w:rsidR="00886EA0" w:rsidRDefault="00886EA0" w:rsidP="004467F9">
      <w:pPr>
        <w:rPr>
          <w:sz w:val="22"/>
        </w:rPr>
      </w:pPr>
      <w:r>
        <w:rPr>
          <w:rFonts w:hint="eastAsia"/>
          <w:sz w:val="22"/>
        </w:rPr>
        <w:t xml:space="preserve">　区長が特色ある区政運営を行うための一定の政策枠の検討を行っている。</w:t>
      </w:r>
      <w:r w:rsidR="00102897">
        <w:rPr>
          <w:rFonts w:hint="eastAsia"/>
          <w:sz w:val="22"/>
        </w:rPr>
        <w:t>区長重点施策経費の検討に関しては、</w:t>
      </w:r>
      <w:r w:rsidR="00C12E5E">
        <w:rPr>
          <w:rFonts w:hint="eastAsia"/>
          <w:sz w:val="22"/>
        </w:rPr>
        <w:t>3</w:t>
      </w:r>
      <w:r w:rsidR="00C12E5E">
        <w:rPr>
          <w:rFonts w:hint="eastAsia"/>
          <w:sz w:val="22"/>
        </w:rPr>
        <w:t>つの考え方に整理した。</w:t>
      </w:r>
    </w:p>
    <w:p w:rsidR="00BB79C5" w:rsidRDefault="00BB79C5" w:rsidP="004467F9">
      <w:pPr>
        <w:rPr>
          <w:sz w:val="22"/>
        </w:rPr>
      </w:pPr>
    </w:p>
    <w:tbl>
      <w:tblPr>
        <w:tblStyle w:val="a7"/>
        <w:tblW w:w="0" w:type="auto"/>
        <w:tblInd w:w="534" w:type="dxa"/>
        <w:tblLook w:val="04A0" w:firstRow="1" w:lastRow="0" w:firstColumn="1" w:lastColumn="0" w:noHBand="0" w:noVBand="1"/>
      </w:tblPr>
      <w:tblGrid>
        <w:gridCol w:w="850"/>
        <w:gridCol w:w="5694"/>
        <w:gridCol w:w="3539"/>
        <w:gridCol w:w="3539"/>
      </w:tblGrid>
      <w:tr w:rsidR="00886EA0" w:rsidTr="00BB79C5">
        <w:trPr>
          <w:trHeight w:val="505"/>
        </w:trPr>
        <w:tc>
          <w:tcPr>
            <w:tcW w:w="850" w:type="dxa"/>
          </w:tcPr>
          <w:p w:rsidR="00886EA0" w:rsidRDefault="00886EA0" w:rsidP="004467F9">
            <w:pPr>
              <w:rPr>
                <w:sz w:val="22"/>
              </w:rPr>
            </w:pPr>
          </w:p>
        </w:tc>
        <w:tc>
          <w:tcPr>
            <w:tcW w:w="5694" w:type="dxa"/>
            <w:vAlign w:val="center"/>
          </w:tcPr>
          <w:p w:rsidR="00886EA0" w:rsidRDefault="00681BAA" w:rsidP="00BB79C5">
            <w:pPr>
              <w:jc w:val="center"/>
              <w:rPr>
                <w:sz w:val="22"/>
              </w:rPr>
            </w:pPr>
            <w:r>
              <w:rPr>
                <w:rFonts w:hint="eastAsia"/>
                <w:sz w:val="22"/>
              </w:rPr>
              <w:t>財源</w:t>
            </w:r>
            <w:r w:rsidR="00886EA0">
              <w:rPr>
                <w:rFonts w:hint="eastAsia"/>
                <w:sz w:val="22"/>
              </w:rPr>
              <w:t>の</w:t>
            </w:r>
            <w:r w:rsidR="00CD1941">
              <w:rPr>
                <w:rFonts w:hint="eastAsia"/>
                <w:sz w:val="22"/>
              </w:rPr>
              <w:t>使途の考え方</w:t>
            </w:r>
          </w:p>
        </w:tc>
        <w:tc>
          <w:tcPr>
            <w:tcW w:w="3539" w:type="dxa"/>
            <w:vAlign w:val="center"/>
          </w:tcPr>
          <w:p w:rsidR="00886EA0" w:rsidRDefault="00886EA0" w:rsidP="00BB79C5">
            <w:pPr>
              <w:jc w:val="center"/>
              <w:rPr>
                <w:sz w:val="22"/>
              </w:rPr>
            </w:pPr>
            <w:r>
              <w:rPr>
                <w:rFonts w:hint="eastAsia"/>
                <w:sz w:val="22"/>
              </w:rPr>
              <w:t>メリット</w:t>
            </w:r>
          </w:p>
        </w:tc>
        <w:tc>
          <w:tcPr>
            <w:tcW w:w="3539" w:type="dxa"/>
            <w:vAlign w:val="center"/>
          </w:tcPr>
          <w:p w:rsidR="00886EA0" w:rsidRDefault="00886EA0" w:rsidP="00BB79C5">
            <w:pPr>
              <w:jc w:val="center"/>
              <w:rPr>
                <w:sz w:val="22"/>
              </w:rPr>
            </w:pPr>
            <w:r>
              <w:rPr>
                <w:rFonts w:hint="eastAsia"/>
                <w:sz w:val="22"/>
              </w:rPr>
              <w:t>デメリット</w:t>
            </w:r>
          </w:p>
        </w:tc>
      </w:tr>
      <w:tr w:rsidR="00886EA0" w:rsidTr="00BB79C5">
        <w:tc>
          <w:tcPr>
            <w:tcW w:w="850" w:type="dxa"/>
            <w:vAlign w:val="center"/>
          </w:tcPr>
          <w:p w:rsidR="00886EA0" w:rsidRDefault="00886EA0" w:rsidP="00BB79C5">
            <w:pPr>
              <w:jc w:val="center"/>
              <w:rPr>
                <w:sz w:val="22"/>
              </w:rPr>
            </w:pPr>
            <w:r>
              <w:rPr>
                <w:rFonts w:hint="eastAsia"/>
                <w:sz w:val="22"/>
              </w:rPr>
              <w:t>案１</w:t>
            </w:r>
          </w:p>
        </w:tc>
        <w:tc>
          <w:tcPr>
            <w:tcW w:w="5694" w:type="dxa"/>
          </w:tcPr>
          <w:p w:rsidR="00886EA0" w:rsidRDefault="00CD1941" w:rsidP="009F083E">
            <w:pPr>
              <w:rPr>
                <w:sz w:val="22"/>
              </w:rPr>
            </w:pPr>
            <w:r>
              <w:rPr>
                <w:rFonts w:hint="eastAsia"/>
                <w:sz w:val="22"/>
              </w:rPr>
              <w:t>区ＣＭ及び区長自由予算経費</w:t>
            </w:r>
            <w:r w:rsidR="00886EA0">
              <w:rPr>
                <w:rFonts w:hint="eastAsia"/>
                <w:sz w:val="22"/>
              </w:rPr>
              <w:t>と</w:t>
            </w:r>
            <w:r w:rsidR="00C12E5E">
              <w:rPr>
                <w:rFonts w:hint="eastAsia"/>
                <w:sz w:val="22"/>
              </w:rPr>
              <w:t>区別することなく</w:t>
            </w:r>
            <w:r w:rsidR="00374F8B">
              <w:rPr>
                <w:rFonts w:hint="eastAsia"/>
                <w:sz w:val="22"/>
              </w:rPr>
              <w:t>、区長</w:t>
            </w:r>
            <w:r w:rsidR="009F083E">
              <w:rPr>
                <w:rFonts w:hint="eastAsia"/>
                <w:sz w:val="22"/>
              </w:rPr>
              <w:t>自由</w:t>
            </w:r>
            <w:r w:rsidR="00374F8B">
              <w:rPr>
                <w:rFonts w:hint="eastAsia"/>
                <w:sz w:val="22"/>
              </w:rPr>
              <w:t>予算と合わせて</w:t>
            </w:r>
            <w:r w:rsidR="00C12E5E">
              <w:rPr>
                <w:rFonts w:hint="eastAsia"/>
                <w:sz w:val="22"/>
              </w:rPr>
              <w:t>自由にこの財源を使用することができる。</w:t>
            </w:r>
          </w:p>
        </w:tc>
        <w:tc>
          <w:tcPr>
            <w:tcW w:w="3539" w:type="dxa"/>
          </w:tcPr>
          <w:p w:rsidR="00886EA0" w:rsidRDefault="009C77AD" w:rsidP="004467F9">
            <w:pPr>
              <w:rPr>
                <w:sz w:val="22"/>
              </w:rPr>
            </w:pPr>
            <w:r>
              <w:rPr>
                <w:rFonts w:hint="eastAsia"/>
                <w:sz w:val="22"/>
              </w:rPr>
              <w:t>区長</w:t>
            </w:r>
            <w:r w:rsidR="00D86181">
              <w:rPr>
                <w:rFonts w:hint="eastAsia"/>
                <w:sz w:val="22"/>
              </w:rPr>
              <w:t>自由</w:t>
            </w:r>
            <w:r w:rsidR="00681BAA">
              <w:rPr>
                <w:rFonts w:hint="eastAsia"/>
                <w:sz w:val="22"/>
              </w:rPr>
              <w:t>予算</w:t>
            </w:r>
            <w:r w:rsidR="00D86181">
              <w:rPr>
                <w:rFonts w:hint="eastAsia"/>
                <w:sz w:val="22"/>
              </w:rPr>
              <w:t>の額</w:t>
            </w:r>
            <w:r>
              <w:rPr>
                <w:rFonts w:hint="eastAsia"/>
                <w:sz w:val="22"/>
              </w:rPr>
              <w:t>が増える</w:t>
            </w:r>
          </w:p>
          <w:p w:rsidR="00681BAA" w:rsidRDefault="00681BAA" w:rsidP="004467F9">
            <w:pPr>
              <w:rPr>
                <w:sz w:val="22"/>
              </w:rPr>
            </w:pPr>
            <w:r>
              <w:rPr>
                <w:rFonts w:hint="eastAsia"/>
                <w:sz w:val="22"/>
              </w:rPr>
              <w:t>自由な予算編成が可能</w:t>
            </w:r>
          </w:p>
          <w:p w:rsidR="00374F8B" w:rsidRDefault="00374F8B" w:rsidP="004467F9">
            <w:pPr>
              <w:rPr>
                <w:sz w:val="22"/>
              </w:rPr>
            </w:pPr>
          </w:p>
          <w:p w:rsidR="00374F8B" w:rsidRDefault="00374F8B" w:rsidP="004467F9">
            <w:pPr>
              <w:rPr>
                <w:sz w:val="22"/>
              </w:rPr>
            </w:pPr>
          </w:p>
        </w:tc>
        <w:tc>
          <w:tcPr>
            <w:tcW w:w="3539" w:type="dxa"/>
          </w:tcPr>
          <w:p w:rsidR="00681BAA" w:rsidRDefault="00681BAA" w:rsidP="004467F9">
            <w:pPr>
              <w:rPr>
                <w:sz w:val="22"/>
              </w:rPr>
            </w:pPr>
            <w:r>
              <w:rPr>
                <w:rFonts w:hint="eastAsia"/>
                <w:sz w:val="22"/>
              </w:rPr>
              <w:t>予算のメリハリ、</w:t>
            </w:r>
            <w:r w:rsidR="00D86181">
              <w:rPr>
                <w:rFonts w:hint="eastAsia"/>
                <w:sz w:val="22"/>
              </w:rPr>
              <w:t>他の予算区分との</w:t>
            </w:r>
            <w:r>
              <w:rPr>
                <w:rFonts w:hint="eastAsia"/>
                <w:sz w:val="22"/>
              </w:rPr>
              <w:t>区別が</w:t>
            </w:r>
            <w:r w:rsidR="00D86181">
              <w:rPr>
                <w:rFonts w:hint="eastAsia"/>
                <w:sz w:val="22"/>
              </w:rPr>
              <w:t>不明確になる</w:t>
            </w:r>
          </w:p>
          <w:p w:rsidR="00681BAA" w:rsidRPr="00374F8B" w:rsidRDefault="00681BAA" w:rsidP="004467F9">
            <w:pPr>
              <w:rPr>
                <w:sz w:val="22"/>
              </w:rPr>
            </w:pPr>
          </w:p>
          <w:p w:rsidR="00681BAA" w:rsidRDefault="00681BAA" w:rsidP="004467F9">
            <w:pPr>
              <w:rPr>
                <w:sz w:val="22"/>
              </w:rPr>
            </w:pPr>
          </w:p>
        </w:tc>
      </w:tr>
      <w:tr w:rsidR="00886EA0" w:rsidTr="00BB79C5">
        <w:tc>
          <w:tcPr>
            <w:tcW w:w="850" w:type="dxa"/>
            <w:vAlign w:val="center"/>
          </w:tcPr>
          <w:p w:rsidR="00886EA0" w:rsidRDefault="00886EA0" w:rsidP="00BB79C5">
            <w:pPr>
              <w:jc w:val="center"/>
              <w:rPr>
                <w:sz w:val="22"/>
              </w:rPr>
            </w:pPr>
            <w:r>
              <w:rPr>
                <w:rFonts w:hint="eastAsia"/>
                <w:sz w:val="22"/>
              </w:rPr>
              <w:t>案２</w:t>
            </w:r>
          </w:p>
        </w:tc>
        <w:tc>
          <w:tcPr>
            <w:tcW w:w="5694" w:type="dxa"/>
          </w:tcPr>
          <w:p w:rsidR="00C12E5E" w:rsidRDefault="00374F8B" w:rsidP="00785377">
            <w:pPr>
              <w:rPr>
                <w:sz w:val="22"/>
              </w:rPr>
            </w:pPr>
            <w:r>
              <w:rPr>
                <w:rFonts w:hint="eastAsia"/>
                <w:sz w:val="22"/>
              </w:rPr>
              <w:t>市長が</w:t>
            </w:r>
            <w:r w:rsidR="00C12E5E">
              <w:rPr>
                <w:rFonts w:hint="eastAsia"/>
                <w:sz w:val="22"/>
              </w:rPr>
              <w:t>指定する施策目的の範囲において、区ＣＭ及び区長自由予算経費とあわせて、この財源を使用することができる。</w:t>
            </w:r>
          </w:p>
          <w:p w:rsidR="00681BAA" w:rsidRDefault="00681BAA" w:rsidP="00785377">
            <w:pPr>
              <w:rPr>
                <w:sz w:val="22"/>
              </w:rPr>
            </w:pPr>
          </w:p>
        </w:tc>
        <w:tc>
          <w:tcPr>
            <w:tcW w:w="3539" w:type="dxa"/>
          </w:tcPr>
          <w:p w:rsidR="00886EA0" w:rsidRDefault="00374F8B" w:rsidP="004467F9">
            <w:pPr>
              <w:rPr>
                <w:sz w:val="22"/>
              </w:rPr>
            </w:pPr>
            <w:r>
              <w:rPr>
                <w:rFonts w:hint="eastAsia"/>
                <w:sz w:val="22"/>
              </w:rPr>
              <w:t>区長が取り組む区独自の施策と市長が取り組む全市的な施策が合わさり、より施策効果が高まる</w:t>
            </w:r>
          </w:p>
          <w:p w:rsidR="00374F8B" w:rsidRDefault="00374F8B" w:rsidP="004467F9">
            <w:pPr>
              <w:rPr>
                <w:sz w:val="22"/>
              </w:rPr>
            </w:pPr>
          </w:p>
        </w:tc>
        <w:tc>
          <w:tcPr>
            <w:tcW w:w="3539" w:type="dxa"/>
          </w:tcPr>
          <w:p w:rsidR="00886EA0" w:rsidRDefault="00374F8B" w:rsidP="004467F9">
            <w:pPr>
              <w:rPr>
                <w:sz w:val="22"/>
              </w:rPr>
            </w:pPr>
            <w:r>
              <w:rPr>
                <w:rFonts w:hint="eastAsia"/>
                <w:sz w:val="22"/>
              </w:rPr>
              <w:t>区長の</w:t>
            </w:r>
            <w:r w:rsidR="00681BAA">
              <w:rPr>
                <w:rFonts w:hint="eastAsia"/>
                <w:sz w:val="22"/>
              </w:rPr>
              <w:t>自由度が</w:t>
            </w:r>
            <w:r w:rsidR="00D86181">
              <w:rPr>
                <w:rFonts w:hint="eastAsia"/>
                <w:sz w:val="22"/>
              </w:rPr>
              <w:t>一定</w:t>
            </w:r>
            <w:r w:rsidR="00681BAA">
              <w:rPr>
                <w:rFonts w:hint="eastAsia"/>
                <w:sz w:val="22"/>
              </w:rPr>
              <w:t>制限される</w:t>
            </w:r>
          </w:p>
          <w:p w:rsidR="00681BAA" w:rsidRDefault="00681BAA" w:rsidP="004467F9">
            <w:pPr>
              <w:rPr>
                <w:sz w:val="22"/>
              </w:rPr>
            </w:pPr>
          </w:p>
          <w:p w:rsidR="00681BAA" w:rsidRDefault="00681BAA" w:rsidP="004467F9">
            <w:pPr>
              <w:rPr>
                <w:sz w:val="22"/>
              </w:rPr>
            </w:pPr>
          </w:p>
        </w:tc>
      </w:tr>
      <w:tr w:rsidR="00886EA0" w:rsidTr="00BB79C5">
        <w:tc>
          <w:tcPr>
            <w:tcW w:w="850" w:type="dxa"/>
            <w:vAlign w:val="center"/>
          </w:tcPr>
          <w:p w:rsidR="00886EA0" w:rsidRDefault="00886EA0" w:rsidP="00BB79C5">
            <w:pPr>
              <w:jc w:val="center"/>
              <w:rPr>
                <w:sz w:val="22"/>
              </w:rPr>
            </w:pPr>
            <w:r>
              <w:rPr>
                <w:rFonts w:hint="eastAsia"/>
                <w:sz w:val="22"/>
              </w:rPr>
              <w:t>案３</w:t>
            </w:r>
          </w:p>
        </w:tc>
        <w:tc>
          <w:tcPr>
            <w:tcW w:w="5694" w:type="dxa"/>
          </w:tcPr>
          <w:p w:rsidR="00374F8B" w:rsidRPr="00374F8B" w:rsidRDefault="00D86181" w:rsidP="00D86181">
            <w:pPr>
              <w:rPr>
                <w:sz w:val="22"/>
              </w:rPr>
            </w:pPr>
            <w:r>
              <w:rPr>
                <w:rFonts w:hint="eastAsia"/>
                <w:sz w:val="22"/>
              </w:rPr>
              <w:t>市長が指定する施策目的の範囲において、</w:t>
            </w:r>
            <w:r w:rsidR="00C12E5E">
              <w:rPr>
                <w:rFonts w:hint="eastAsia"/>
                <w:sz w:val="22"/>
              </w:rPr>
              <w:t>この財源を</w:t>
            </w:r>
            <w:r w:rsidR="00CD1941">
              <w:rPr>
                <w:rFonts w:hint="eastAsia"/>
                <w:sz w:val="22"/>
              </w:rPr>
              <w:t>使用することが</w:t>
            </w:r>
            <w:r w:rsidR="00C12E5E">
              <w:rPr>
                <w:rFonts w:hint="eastAsia"/>
                <w:sz w:val="22"/>
              </w:rPr>
              <w:t>できる。</w:t>
            </w:r>
            <w:r>
              <w:rPr>
                <w:rFonts w:hint="eastAsia"/>
                <w:sz w:val="22"/>
              </w:rPr>
              <w:t>ただし、</w:t>
            </w:r>
            <w:r w:rsidR="00374F8B">
              <w:rPr>
                <w:rFonts w:hint="eastAsia"/>
                <w:sz w:val="22"/>
              </w:rPr>
              <w:t>他の事業経費と組み合わせることはできない</w:t>
            </w:r>
            <w:r>
              <w:rPr>
                <w:rFonts w:hint="eastAsia"/>
                <w:sz w:val="22"/>
              </w:rPr>
              <w:t>。</w:t>
            </w:r>
          </w:p>
        </w:tc>
        <w:tc>
          <w:tcPr>
            <w:tcW w:w="3539" w:type="dxa"/>
          </w:tcPr>
          <w:p w:rsidR="00886EA0" w:rsidRPr="00CD1941" w:rsidRDefault="009F083E" w:rsidP="004467F9">
            <w:pPr>
              <w:rPr>
                <w:sz w:val="22"/>
              </w:rPr>
            </w:pPr>
            <w:r>
              <w:rPr>
                <w:rFonts w:hint="eastAsia"/>
                <w:sz w:val="22"/>
              </w:rPr>
              <w:t>重点施策経費としての性格がより鮮明になる</w:t>
            </w:r>
          </w:p>
          <w:p w:rsidR="009C77AD" w:rsidRDefault="009C77AD" w:rsidP="004467F9">
            <w:pPr>
              <w:rPr>
                <w:sz w:val="22"/>
              </w:rPr>
            </w:pPr>
          </w:p>
          <w:p w:rsidR="009C77AD" w:rsidRDefault="009C77AD" w:rsidP="004467F9">
            <w:pPr>
              <w:rPr>
                <w:sz w:val="22"/>
              </w:rPr>
            </w:pPr>
          </w:p>
        </w:tc>
        <w:tc>
          <w:tcPr>
            <w:tcW w:w="3539" w:type="dxa"/>
          </w:tcPr>
          <w:p w:rsidR="00886EA0" w:rsidRDefault="009F083E" w:rsidP="004467F9">
            <w:pPr>
              <w:rPr>
                <w:sz w:val="22"/>
              </w:rPr>
            </w:pPr>
            <w:r>
              <w:rPr>
                <w:rFonts w:hint="eastAsia"/>
                <w:sz w:val="22"/>
              </w:rPr>
              <w:t>予算額に限度がある</w:t>
            </w:r>
          </w:p>
          <w:p w:rsidR="00681BAA" w:rsidRPr="00CD1941" w:rsidRDefault="00D86181" w:rsidP="004467F9">
            <w:pPr>
              <w:rPr>
                <w:sz w:val="22"/>
              </w:rPr>
            </w:pPr>
            <w:r>
              <w:rPr>
                <w:rFonts w:hint="eastAsia"/>
                <w:sz w:val="22"/>
              </w:rPr>
              <w:t>区長の自由度が制限される</w:t>
            </w:r>
          </w:p>
          <w:p w:rsidR="00681BAA" w:rsidRDefault="00681BAA" w:rsidP="004467F9">
            <w:pPr>
              <w:rPr>
                <w:sz w:val="22"/>
              </w:rPr>
            </w:pPr>
          </w:p>
        </w:tc>
      </w:tr>
    </w:tbl>
    <w:p w:rsidR="00A13AAE" w:rsidRPr="00760C9E" w:rsidRDefault="00A13AAE" w:rsidP="004467F9">
      <w:pPr>
        <w:rPr>
          <w:rFonts w:ascii="ＭＳ Ｐゴシック" w:eastAsia="ＭＳ Ｐゴシック" w:hAnsi="ＭＳ Ｐゴシック"/>
          <w:sz w:val="22"/>
        </w:rPr>
      </w:pPr>
    </w:p>
    <w:sectPr w:rsidR="00A13AAE" w:rsidRPr="00760C9E" w:rsidSect="00B31C37">
      <w:headerReference w:type="even" r:id="rId6"/>
      <w:headerReference w:type="default" r:id="rId7"/>
      <w:footerReference w:type="even" r:id="rId8"/>
      <w:footerReference w:type="default" r:id="rId9"/>
      <w:headerReference w:type="first" r:id="rId10"/>
      <w:footerReference w:type="first" r:id="rId11"/>
      <w:pgSz w:w="16838" w:h="11906" w:orient="landscape"/>
      <w:pgMar w:top="1247" w:right="1440"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748" w:rsidRDefault="00565748" w:rsidP="0014084B">
      <w:r>
        <w:separator/>
      </w:r>
    </w:p>
  </w:endnote>
  <w:endnote w:type="continuationSeparator" w:id="0">
    <w:p w:rsidR="00565748" w:rsidRDefault="00565748" w:rsidP="0014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CB" w:rsidRDefault="00EA35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CB" w:rsidRDefault="00EA3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CB" w:rsidRDefault="00EA3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748" w:rsidRDefault="00565748" w:rsidP="0014084B">
      <w:r>
        <w:separator/>
      </w:r>
    </w:p>
  </w:footnote>
  <w:footnote w:type="continuationSeparator" w:id="0">
    <w:p w:rsidR="00565748" w:rsidRDefault="00565748" w:rsidP="00140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CB" w:rsidRDefault="00EA35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CB" w:rsidRDefault="00EA35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CB" w:rsidRDefault="00EA35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61B4"/>
    <w:rsid w:val="000043F1"/>
    <w:rsid w:val="0001175A"/>
    <w:rsid w:val="00032CA9"/>
    <w:rsid w:val="00085F5F"/>
    <w:rsid w:val="000E26CC"/>
    <w:rsid w:val="000F560C"/>
    <w:rsid w:val="00102897"/>
    <w:rsid w:val="0014084B"/>
    <w:rsid w:val="00152002"/>
    <w:rsid w:val="001777FA"/>
    <w:rsid w:val="001804FC"/>
    <w:rsid w:val="002F5051"/>
    <w:rsid w:val="00371504"/>
    <w:rsid w:val="00374F8B"/>
    <w:rsid w:val="00375B26"/>
    <w:rsid w:val="003925D5"/>
    <w:rsid w:val="003C5A8F"/>
    <w:rsid w:val="003F450B"/>
    <w:rsid w:val="004467F9"/>
    <w:rsid w:val="00456CD0"/>
    <w:rsid w:val="00466595"/>
    <w:rsid w:val="00480E72"/>
    <w:rsid w:val="004842B5"/>
    <w:rsid w:val="004B6447"/>
    <w:rsid w:val="004C2B4A"/>
    <w:rsid w:val="005561B4"/>
    <w:rsid w:val="00565748"/>
    <w:rsid w:val="00574121"/>
    <w:rsid w:val="005B52AA"/>
    <w:rsid w:val="005C17D4"/>
    <w:rsid w:val="005C1DFF"/>
    <w:rsid w:val="00616AB9"/>
    <w:rsid w:val="006556B6"/>
    <w:rsid w:val="00656751"/>
    <w:rsid w:val="006813C8"/>
    <w:rsid w:val="00681BAA"/>
    <w:rsid w:val="006F6D95"/>
    <w:rsid w:val="0071532D"/>
    <w:rsid w:val="00760C9E"/>
    <w:rsid w:val="00762964"/>
    <w:rsid w:val="00785377"/>
    <w:rsid w:val="00794D33"/>
    <w:rsid w:val="007974C8"/>
    <w:rsid w:val="007B057F"/>
    <w:rsid w:val="0080222B"/>
    <w:rsid w:val="008341A0"/>
    <w:rsid w:val="00886EA0"/>
    <w:rsid w:val="008931B3"/>
    <w:rsid w:val="008934FC"/>
    <w:rsid w:val="008B6431"/>
    <w:rsid w:val="008D23BA"/>
    <w:rsid w:val="008F4426"/>
    <w:rsid w:val="00943615"/>
    <w:rsid w:val="00946E58"/>
    <w:rsid w:val="009B0EB8"/>
    <w:rsid w:val="009B5E04"/>
    <w:rsid w:val="009C77AD"/>
    <w:rsid w:val="009F083E"/>
    <w:rsid w:val="00A049C9"/>
    <w:rsid w:val="00A13AAE"/>
    <w:rsid w:val="00A92237"/>
    <w:rsid w:val="00AB04C7"/>
    <w:rsid w:val="00AE4329"/>
    <w:rsid w:val="00AF1E9B"/>
    <w:rsid w:val="00B31C37"/>
    <w:rsid w:val="00B90F1D"/>
    <w:rsid w:val="00B93C92"/>
    <w:rsid w:val="00BB79C5"/>
    <w:rsid w:val="00BC2743"/>
    <w:rsid w:val="00BE6351"/>
    <w:rsid w:val="00C01185"/>
    <w:rsid w:val="00C02EB5"/>
    <w:rsid w:val="00C1038B"/>
    <w:rsid w:val="00C12E5E"/>
    <w:rsid w:val="00C36D5C"/>
    <w:rsid w:val="00C7426E"/>
    <w:rsid w:val="00C90949"/>
    <w:rsid w:val="00CC6FDB"/>
    <w:rsid w:val="00CD1941"/>
    <w:rsid w:val="00CD5738"/>
    <w:rsid w:val="00CF6A18"/>
    <w:rsid w:val="00D86181"/>
    <w:rsid w:val="00D910D6"/>
    <w:rsid w:val="00DD7922"/>
    <w:rsid w:val="00DF797E"/>
    <w:rsid w:val="00E151A9"/>
    <w:rsid w:val="00E73A05"/>
    <w:rsid w:val="00E81701"/>
    <w:rsid w:val="00EA35CB"/>
    <w:rsid w:val="00EB4D69"/>
    <w:rsid w:val="00F129D9"/>
    <w:rsid w:val="00F504BE"/>
    <w:rsid w:val="00F74D78"/>
    <w:rsid w:val="00F929CA"/>
    <w:rsid w:val="00FB6E13"/>
    <w:rsid w:val="00FC0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5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84B"/>
    <w:pPr>
      <w:tabs>
        <w:tab w:val="center" w:pos="4252"/>
        <w:tab w:val="right" w:pos="8504"/>
      </w:tabs>
      <w:snapToGrid w:val="0"/>
    </w:pPr>
  </w:style>
  <w:style w:type="character" w:customStyle="1" w:styleId="a4">
    <w:name w:val="ヘッダー (文字)"/>
    <w:basedOn w:val="a0"/>
    <w:link w:val="a3"/>
    <w:uiPriority w:val="99"/>
    <w:rsid w:val="0014084B"/>
  </w:style>
  <w:style w:type="paragraph" w:styleId="a5">
    <w:name w:val="footer"/>
    <w:basedOn w:val="a"/>
    <w:link w:val="a6"/>
    <w:uiPriority w:val="99"/>
    <w:unhideWhenUsed/>
    <w:rsid w:val="0014084B"/>
    <w:pPr>
      <w:tabs>
        <w:tab w:val="center" w:pos="4252"/>
        <w:tab w:val="right" w:pos="8504"/>
      </w:tabs>
      <w:snapToGrid w:val="0"/>
    </w:pPr>
  </w:style>
  <w:style w:type="character" w:customStyle="1" w:styleId="a6">
    <w:name w:val="フッター (文字)"/>
    <w:basedOn w:val="a0"/>
    <w:link w:val="a5"/>
    <w:uiPriority w:val="99"/>
    <w:rsid w:val="0014084B"/>
  </w:style>
  <w:style w:type="table" w:styleId="a7">
    <w:name w:val="Table Grid"/>
    <w:basedOn w:val="a1"/>
    <w:uiPriority w:val="59"/>
    <w:rsid w:val="0088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2022-10-17T07:42:00Z</dcterms:created>
  <dcterms:modified xsi:type="dcterms:W3CDTF">2022-10-17T07:42:00Z</dcterms:modified>
</cp:coreProperties>
</file>