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A1" w:rsidRPr="00F64C48" w:rsidRDefault="00CE18A1" w:rsidP="00CE18A1">
      <w:pPr>
        <w:rPr>
          <w:rFonts w:asciiTheme="minorEastAsia" w:hAnsiTheme="minorEastAsia" w:cs="ＭＳ ゴシック"/>
          <w:szCs w:val="21"/>
        </w:rPr>
      </w:pPr>
      <w:r w:rsidRPr="00F64C48">
        <w:rPr>
          <w:rFonts w:asciiTheme="minorEastAsia" w:hAnsiTheme="minorEastAsia" w:cs="ＭＳ ゴシック" w:hint="eastAsia"/>
          <w:szCs w:val="21"/>
        </w:rPr>
        <w:t>別表</w:t>
      </w:r>
    </w:p>
    <w:tbl>
      <w:tblPr>
        <w:tblStyle w:val="a5"/>
        <w:tblW w:w="8642" w:type="dxa"/>
        <w:tblLook w:val="04A0" w:firstRow="1" w:lastRow="0" w:firstColumn="1" w:lastColumn="0" w:noHBand="0" w:noVBand="1"/>
      </w:tblPr>
      <w:tblGrid>
        <w:gridCol w:w="389"/>
        <w:gridCol w:w="565"/>
        <w:gridCol w:w="7688"/>
      </w:tblGrid>
      <w:tr w:rsidR="00CE18A1" w:rsidRPr="00323875" w:rsidTr="00FD437F">
        <w:tc>
          <w:tcPr>
            <w:tcW w:w="8642" w:type="dxa"/>
            <w:gridSpan w:val="3"/>
          </w:tcPr>
          <w:p w:rsidR="00CE18A1" w:rsidRPr="00F64C48" w:rsidRDefault="00CE18A1" w:rsidP="00A44AFF">
            <w:pPr>
              <w:rPr>
                <w:rFonts w:asciiTheme="minorEastAsia" w:hAnsiTheme="minorEastAsia" w:cs="ＭＳ ゴシック"/>
                <w:szCs w:val="21"/>
              </w:rPr>
            </w:pPr>
            <w:r>
              <w:rPr>
                <w:rFonts w:asciiTheme="minorEastAsia" w:eastAsiaTheme="minorEastAsia" w:hAnsiTheme="minorEastAsia" w:cs="ＭＳ ゴシック" w:hint="eastAsia"/>
              </w:rPr>
              <w:t>Ⅰ</w:t>
            </w:r>
            <w:r w:rsidR="003916D3">
              <w:rPr>
                <w:rFonts w:asciiTheme="minorEastAsia" w:eastAsiaTheme="minorEastAsia" w:hAnsiTheme="minorEastAsia" w:cs="ＭＳ ゴシック" w:hint="eastAsia"/>
              </w:rPr>
              <w:t xml:space="preserve">　</w:t>
            </w:r>
            <w:r w:rsidR="00ED29B3">
              <w:rPr>
                <w:rFonts w:asciiTheme="minorEastAsia" w:eastAsiaTheme="minorEastAsia" w:hAnsiTheme="minorEastAsia" w:cs="ＭＳ ゴシック" w:hint="eastAsia"/>
              </w:rPr>
              <w:t>意欲</w:t>
            </w:r>
            <w:r w:rsidR="00C602AB">
              <w:rPr>
                <w:rFonts w:asciiTheme="minorEastAsia" w:eastAsiaTheme="minorEastAsia" w:hAnsiTheme="minorEastAsia" w:cs="ＭＳ ゴシック" w:hint="eastAsia"/>
              </w:rPr>
              <w:t>の</w:t>
            </w:r>
            <w:bookmarkStart w:id="0" w:name="_GoBack"/>
            <w:bookmarkEnd w:id="0"/>
            <w:r w:rsidR="00ED29B3">
              <w:rPr>
                <w:rFonts w:asciiTheme="minorEastAsia" w:eastAsiaTheme="minorEastAsia" w:hAnsiTheme="minorEastAsia" w:cs="ＭＳ ゴシック" w:hint="eastAsia"/>
              </w:rPr>
              <w:t>ある女性が活躍し続けられる組織づくり</w:t>
            </w:r>
          </w:p>
        </w:tc>
      </w:tr>
      <w:tr w:rsidR="00CE18A1" w:rsidRPr="00F64C48" w:rsidTr="00FD437F">
        <w:tc>
          <w:tcPr>
            <w:tcW w:w="389" w:type="dxa"/>
            <w:vMerge w:val="restart"/>
          </w:tcPr>
          <w:p w:rsidR="00CE18A1" w:rsidRPr="00F64C48" w:rsidRDefault="00CE18A1" w:rsidP="00A44AFF">
            <w:pPr>
              <w:rPr>
                <w:rFonts w:asciiTheme="minorEastAsia" w:hAnsiTheme="minorEastAsia" w:cs="ＭＳ ゴシック"/>
                <w:szCs w:val="21"/>
              </w:rPr>
            </w:pPr>
          </w:p>
        </w:tc>
        <w:tc>
          <w:tcPr>
            <w:tcW w:w="8253" w:type="dxa"/>
            <w:gridSpan w:val="2"/>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〈ファーストステージ〉</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１</w:t>
            </w:r>
          </w:p>
        </w:tc>
        <w:tc>
          <w:tcPr>
            <w:tcW w:w="7688" w:type="dxa"/>
          </w:tcPr>
          <w:p w:rsidR="003916D3" w:rsidRPr="003916D3" w:rsidRDefault="003916D3" w:rsidP="003916D3">
            <w:pPr>
              <w:rPr>
                <w:rFonts w:asciiTheme="minorEastAsia" w:hAnsiTheme="minorEastAsia" w:cs="ＭＳ ゴシック"/>
                <w:szCs w:val="21"/>
              </w:rPr>
            </w:pPr>
            <w:r w:rsidRPr="003916D3">
              <w:rPr>
                <w:rFonts w:asciiTheme="minorEastAsia" w:hAnsiTheme="minorEastAsia" w:cs="ＭＳ ゴシック" w:hint="eastAsia"/>
                <w:szCs w:val="21"/>
              </w:rPr>
              <w:t>【トップ等による女性活躍に向けた方針の明示】</w:t>
            </w:r>
          </w:p>
          <w:p w:rsidR="00CE18A1" w:rsidRPr="00F64C48" w:rsidRDefault="003916D3" w:rsidP="003916D3">
            <w:pPr>
              <w:rPr>
                <w:rFonts w:asciiTheme="minorEastAsia" w:hAnsiTheme="minorEastAsia" w:cs="ＭＳ ゴシック"/>
                <w:szCs w:val="21"/>
              </w:rPr>
            </w:pPr>
            <w:r w:rsidRPr="003916D3">
              <w:rPr>
                <w:rFonts w:asciiTheme="minorEastAsia" w:hAnsiTheme="minorEastAsia" w:cs="ＭＳ ゴシック" w:hint="eastAsia"/>
                <w:szCs w:val="21"/>
              </w:rPr>
              <w:t>事業主（企業・団体等）として、女性の活躍を推進する旨の方針などを掲げ、労働者への周知を行っていること。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２</w:t>
            </w:r>
          </w:p>
        </w:tc>
        <w:tc>
          <w:tcPr>
            <w:tcW w:w="7688" w:type="dxa"/>
          </w:tcPr>
          <w:p w:rsidR="003916D3" w:rsidRPr="003916D3" w:rsidRDefault="003916D3" w:rsidP="003916D3">
            <w:pPr>
              <w:rPr>
                <w:rFonts w:asciiTheme="minorEastAsia" w:hAnsiTheme="minorEastAsia" w:cs="ＭＳ ゴシック"/>
                <w:szCs w:val="21"/>
              </w:rPr>
            </w:pPr>
            <w:r w:rsidRPr="003916D3">
              <w:rPr>
                <w:rFonts w:asciiTheme="minorEastAsia" w:hAnsiTheme="minorEastAsia" w:cs="ＭＳ ゴシック" w:hint="eastAsia"/>
                <w:szCs w:val="21"/>
              </w:rPr>
              <w:t>【女性の管理職登用に向けた計画の策定】</w:t>
            </w:r>
          </w:p>
          <w:p w:rsidR="00CE18A1" w:rsidRPr="00F64C48" w:rsidRDefault="003916D3" w:rsidP="003916D3">
            <w:pPr>
              <w:rPr>
                <w:rFonts w:asciiTheme="minorEastAsia" w:hAnsiTheme="minorEastAsia" w:cs="ＭＳ ゴシック"/>
                <w:szCs w:val="21"/>
              </w:rPr>
            </w:pPr>
            <w:r w:rsidRPr="003916D3">
              <w:rPr>
                <w:rFonts w:asciiTheme="minorEastAsia" w:hAnsiTheme="minorEastAsia" w:cs="ＭＳ ゴシック" w:hint="eastAsia"/>
                <w:szCs w:val="21"/>
              </w:rPr>
              <w:t>役員・管理職等への女性登用に向けて、具体的な目標を定めた実施計画があること。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３</w:t>
            </w:r>
          </w:p>
        </w:tc>
        <w:tc>
          <w:tcPr>
            <w:tcW w:w="7688" w:type="dxa"/>
          </w:tcPr>
          <w:p w:rsidR="003916D3" w:rsidRPr="003916D3" w:rsidRDefault="003916D3" w:rsidP="003916D3">
            <w:pPr>
              <w:rPr>
                <w:rFonts w:asciiTheme="minorEastAsia" w:hAnsiTheme="minorEastAsia" w:cs="ＭＳ ゴシック"/>
                <w:szCs w:val="21"/>
              </w:rPr>
            </w:pPr>
            <w:r w:rsidRPr="003916D3">
              <w:rPr>
                <w:rFonts w:asciiTheme="minorEastAsia" w:hAnsiTheme="minorEastAsia" w:cs="ＭＳ ゴシック" w:hint="eastAsia"/>
                <w:szCs w:val="21"/>
              </w:rPr>
              <w:t>【女性活躍に向けた研修の実施】</w:t>
            </w:r>
          </w:p>
          <w:p w:rsidR="00CE18A1" w:rsidRPr="00F64C48" w:rsidRDefault="003916D3" w:rsidP="003916D3">
            <w:pPr>
              <w:rPr>
                <w:rFonts w:asciiTheme="minorEastAsia" w:hAnsiTheme="minorEastAsia" w:cs="ＭＳ ゴシック"/>
                <w:szCs w:val="21"/>
              </w:rPr>
            </w:pPr>
            <w:r w:rsidRPr="003916D3">
              <w:rPr>
                <w:rFonts w:asciiTheme="minorEastAsia" w:hAnsiTheme="minorEastAsia" w:cs="ＭＳ ゴシック" w:hint="eastAsia"/>
                <w:szCs w:val="21"/>
              </w:rPr>
              <w:t>女性の活躍に資するテーマを設定し、労働者に対し研修等を行っていること。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４</w:t>
            </w:r>
          </w:p>
        </w:tc>
        <w:tc>
          <w:tcPr>
            <w:tcW w:w="7688" w:type="dxa"/>
          </w:tcPr>
          <w:p w:rsidR="003916D3" w:rsidRPr="003916D3" w:rsidRDefault="003916D3" w:rsidP="003916D3">
            <w:pPr>
              <w:rPr>
                <w:rFonts w:asciiTheme="minorEastAsia" w:hAnsiTheme="minorEastAsia" w:cs="ＭＳ ゴシック"/>
                <w:szCs w:val="21"/>
              </w:rPr>
            </w:pPr>
            <w:r w:rsidRPr="003916D3">
              <w:rPr>
                <w:rFonts w:asciiTheme="minorEastAsia" w:hAnsiTheme="minorEastAsia" w:cs="ＭＳ ゴシック" w:hint="eastAsia"/>
                <w:szCs w:val="21"/>
              </w:rPr>
              <w:t>【正規・非正規間の待遇差の是正】</w:t>
            </w:r>
          </w:p>
          <w:p w:rsidR="00CE18A1" w:rsidRPr="00F64C48" w:rsidRDefault="003916D3" w:rsidP="003916D3">
            <w:pPr>
              <w:rPr>
                <w:rFonts w:asciiTheme="minorEastAsia" w:hAnsiTheme="minorEastAsia" w:cs="ＭＳ ゴシック"/>
                <w:szCs w:val="21"/>
              </w:rPr>
            </w:pPr>
            <w:r w:rsidRPr="003916D3">
              <w:rPr>
                <w:rFonts w:asciiTheme="minorEastAsia" w:hAnsiTheme="minorEastAsia" w:cs="ＭＳ ゴシック" w:hint="eastAsia"/>
                <w:szCs w:val="21"/>
              </w:rPr>
              <w:t>意欲と能力に応じて、非正規雇用労働者を正規雇用に転換する制度や、正規雇用労働者と同様の処遇を行うなどの措置があること。</w:t>
            </w:r>
          </w:p>
        </w:tc>
      </w:tr>
      <w:tr w:rsidR="00CE18A1" w:rsidRPr="00F64C48" w:rsidTr="00FD437F">
        <w:tc>
          <w:tcPr>
            <w:tcW w:w="389" w:type="dxa"/>
            <w:vMerge w:val="restart"/>
          </w:tcPr>
          <w:p w:rsidR="00CE18A1" w:rsidRPr="00F64C48" w:rsidRDefault="00CE18A1" w:rsidP="00A44AFF">
            <w:pPr>
              <w:rPr>
                <w:rFonts w:asciiTheme="minorEastAsia" w:hAnsiTheme="minorEastAsia" w:cs="ＭＳ ゴシック"/>
                <w:szCs w:val="21"/>
              </w:rPr>
            </w:pPr>
          </w:p>
        </w:tc>
        <w:tc>
          <w:tcPr>
            <w:tcW w:w="8253" w:type="dxa"/>
            <w:gridSpan w:val="2"/>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〈セカンドステージ〉</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５</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【女性の職域拡大に向けた取組】</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女性労働者の職域拡大や、幅広い分野での活躍を意図し、研修の実施や資格取得のための支援措置等があること。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６</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【女性の職域拡大の実績】</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女性を配置している部署（課等）の割合がこの３年間で上昇していること。または現在70％以上となっていること。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７</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【女性の管理職登用の実績（係長・チーフ相当）】</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係長・チーフ相当職に占める女性の割合がこの３年間で上昇していること。または現在30％以上となっていること。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８</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【女性の管理職登用の実績（部長・課長・リーダー相当職）】</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部長相当職及び課長・リーダー相当職に占める女性の割合がこの３年間で上昇していること。または現在10％以上となっていること。</w:t>
            </w:r>
          </w:p>
        </w:tc>
      </w:tr>
      <w:tr w:rsidR="00CE18A1" w:rsidRPr="00F64C48" w:rsidTr="00FD437F">
        <w:tc>
          <w:tcPr>
            <w:tcW w:w="8642" w:type="dxa"/>
            <w:gridSpan w:val="3"/>
          </w:tcPr>
          <w:p w:rsidR="00CE18A1" w:rsidRPr="00F64C48" w:rsidRDefault="00CE18A1" w:rsidP="00FD437F">
            <w:pPr>
              <w:rPr>
                <w:rFonts w:asciiTheme="minorEastAsia" w:hAnsiTheme="minorEastAsia" w:cs="ＭＳ ゴシック"/>
                <w:szCs w:val="21"/>
              </w:rPr>
            </w:pPr>
            <w:r>
              <w:rPr>
                <w:rFonts w:asciiTheme="minorEastAsia" w:eastAsiaTheme="minorEastAsia" w:hAnsiTheme="minorEastAsia" w:cs="ＭＳ ゴシック" w:hint="eastAsia"/>
              </w:rPr>
              <w:t>Ⅱ</w:t>
            </w:r>
            <w:r w:rsidR="00FD437F">
              <w:rPr>
                <w:rFonts w:asciiTheme="minorEastAsia" w:eastAsiaTheme="minorEastAsia" w:hAnsiTheme="minorEastAsia" w:cs="ＭＳ ゴシック" w:hint="eastAsia"/>
              </w:rPr>
              <w:t xml:space="preserve">　</w:t>
            </w:r>
            <w:r w:rsidR="00ED29B3">
              <w:rPr>
                <w:rFonts w:asciiTheme="minorEastAsia" w:eastAsiaTheme="minorEastAsia" w:hAnsiTheme="minorEastAsia" w:cs="ＭＳ ゴシック" w:hint="eastAsia"/>
              </w:rPr>
              <w:t>仕事と家庭の両立（</w:t>
            </w:r>
            <w:r w:rsidRPr="00F64C48">
              <w:rPr>
                <w:rFonts w:asciiTheme="minorEastAsia" w:hAnsiTheme="minorEastAsia" w:cs="ＭＳ ゴシック" w:hint="eastAsia"/>
                <w:szCs w:val="21"/>
              </w:rPr>
              <w:t>ワーク・ライフ・バランス</w:t>
            </w:r>
            <w:r w:rsidR="00ED29B3">
              <w:rPr>
                <w:rFonts w:asciiTheme="minorEastAsia" w:hAnsiTheme="minorEastAsia" w:cs="ＭＳ ゴシック" w:hint="eastAsia"/>
                <w:szCs w:val="21"/>
              </w:rPr>
              <w:t>）支援</w:t>
            </w:r>
          </w:p>
        </w:tc>
      </w:tr>
      <w:tr w:rsidR="00CE18A1" w:rsidRPr="00F64C48" w:rsidTr="00FD437F">
        <w:tc>
          <w:tcPr>
            <w:tcW w:w="389" w:type="dxa"/>
            <w:vMerge w:val="restart"/>
          </w:tcPr>
          <w:p w:rsidR="00CE18A1" w:rsidRPr="00F64C48" w:rsidRDefault="00CE18A1" w:rsidP="00A44AFF">
            <w:pPr>
              <w:rPr>
                <w:rFonts w:asciiTheme="minorEastAsia" w:hAnsiTheme="minorEastAsia" w:cs="ＭＳ ゴシック"/>
                <w:szCs w:val="21"/>
              </w:rPr>
            </w:pPr>
          </w:p>
        </w:tc>
        <w:tc>
          <w:tcPr>
            <w:tcW w:w="8253" w:type="dxa"/>
            <w:gridSpan w:val="2"/>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〈ファーストステージ〉</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９</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【労働時間短縮の推進】</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労働時間短縮の取組として、所定外労働時間の縮減や年次有給休暇の取得促進等の取組があること。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10</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【自己啓発・ボランティアの促進】</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自己啓発やボランティアの時間を確保できる措置があること。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11</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【仕事と家庭の両立促進】</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仕事と生活の両立を促進するため、法令を上回る措置や独自の支援制度があること。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12</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【継続雇用の促進】</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育児休業及び介護休業の取得に際し、労働者に対し、休業前、休業中、休業後のいずれかの段階において就業継続に向けた支援、もしくは、休業中の職場をフォローする取組があること。</w:t>
            </w:r>
          </w:p>
        </w:tc>
      </w:tr>
      <w:tr w:rsidR="00CE18A1" w:rsidRPr="00F64C48" w:rsidTr="00FD437F">
        <w:tc>
          <w:tcPr>
            <w:tcW w:w="389" w:type="dxa"/>
            <w:vMerge w:val="restart"/>
          </w:tcPr>
          <w:p w:rsidR="00CE18A1" w:rsidRPr="00F64C48" w:rsidRDefault="00CE18A1" w:rsidP="00A44AFF">
            <w:pPr>
              <w:rPr>
                <w:rFonts w:asciiTheme="minorEastAsia" w:hAnsiTheme="minorEastAsia" w:cs="ＭＳ ゴシック"/>
                <w:szCs w:val="21"/>
              </w:rPr>
            </w:pPr>
          </w:p>
        </w:tc>
        <w:tc>
          <w:tcPr>
            <w:tcW w:w="8253" w:type="dxa"/>
            <w:gridSpan w:val="2"/>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〈セカンドステージ〉</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13</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【時間外労働縮減の実績】</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労働者の法定時間外労働（法定休日労働時間を含む）の合計時間数の平均が、 直近の事業年度の各月ごとに全て45時間未満であること</w:t>
            </w:r>
            <w:r>
              <w:rPr>
                <w:rFonts w:asciiTheme="minorEastAsia" w:hAnsiTheme="minorEastAsia" w:cs="ＭＳ ゴシック" w:hint="eastAsia"/>
                <w:szCs w:val="21"/>
              </w:rPr>
              <w:t>。</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14</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【有給休暇の取得実績】</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年次有給休暇の平均取得率がこの３年間で上昇していること。または、直近年度で70％以上となっていること。</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15</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【育児休業・介護休業等の取得実績】</w:t>
            </w:r>
          </w:p>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育児・介護休業法で定める制度について、この３年間で、次のいずれかの実績があること</w:t>
            </w:r>
            <w:r>
              <w:rPr>
                <w:rFonts w:asciiTheme="minorEastAsia" w:hAnsiTheme="minorEastAsia" w:cs="ＭＳ ゴシック" w:hint="eastAsia"/>
                <w:szCs w:val="21"/>
              </w:rPr>
              <w:t>。</w:t>
            </w:r>
          </w:p>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①介護休業制度を7日以上取得した労働者がいる。</w:t>
            </w:r>
          </w:p>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②短時間勤務制度を１ヶ月以上利用した労働者がいる。</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③所定外労働時間の免除制度を１ヶ月以上利用した労働者がいる。</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16</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【女性の継続雇用の実績】</w:t>
            </w:r>
          </w:p>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女性労働者の継続雇用の観点から、次のいずれかの実績があること。</w:t>
            </w:r>
          </w:p>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①この3年間で過去に在籍した女性労働者を採用した</w:t>
            </w:r>
            <w:r>
              <w:rPr>
                <w:rFonts w:asciiTheme="minorEastAsia" w:hAnsiTheme="minorEastAsia" w:cs="ＭＳ ゴシック" w:hint="eastAsia"/>
                <w:szCs w:val="21"/>
              </w:rPr>
              <w:t>。</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②この3年間の女性労働者の育児休業取得率が平均で85％以上となっている</w:t>
            </w:r>
            <w:r>
              <w:rPr>
                <w:rFonts w:asciiTheme="minorEastAsia" w:hAnsiTheme="minorEastAsia" w:cs="ＭＳ ゴシック" w:hint="eastAsia"/>
                <w:szCs w:val="21"/>
              </w:rPr>
              <w:t>。</w:t>
            </w:r>
          </w:p>
        </w:tc>
      </w:tr>
      <w:tr w:rsidR="00CE18A1" w:rsidRPr="00F64C48" w:rsidTr="00FD437F">
        <w:tc>
          <w:tcPr>
            <w:tcW w:w="8642" w:type="dxa"/>
            <w:gridSpan w:val="3"/>
          </w:tcPr>
          <w:p w:rsidR="00CE18A1" w:rsidRPr="00F64C48" w:rsidRDefault="00CE18A1" w:rsidP="00FD437F">
            <w:pPr>
              <w:rPr>
                <w:rFonts w:asciiTheme="minorEastAsia" w:hAnsiTheme="minorEastAsia" w:cs="ＭＳ ゴシック"/>
                <w:szCs w:val="21"/>
              </w:rPr>
            </w:pPr>
            <w:r>
              <w:rPr>
                <w:rFonts w:asciiTheme="minorEastAsia" w:eastAsiaTheme="minorEastAsia" w:hAnsiTheme="minorEastAsia" w:cs="ＭＳ ゴシック" w:hint="eastAsia"/>
              </w:rPr>
              <w:t>Ⅲ</w:t>
            </w:r>
            <w:r w:rsidR="00FD437F">
              <w:rPr>
                <w:rFonts w:asciiTheme="minorEastAsia" w:eastAsiaTheme="minorEastAsia" w:hAnsiTheme="minorEastAsia" w:cs="ＭＳ ゴシック" w:hint="eastAsia"/>
              </w:rPr>
              <w:t xml:space="preserve">　</w:t>
            </w:r>
            <w:r w:rsidR="00FD437F" w:rsidRPr="00FD437F">
              <w:rPr>
                <w:rFonts w:asciiTheme="minorEastAsia" w:eastAsiaTheme="minorEastAsia" w:hAnsiTheme="minorEastAsia" w:cs="ＭＳ ゴシック" w:hint="eastAsia"/>
              </w:rPr>
              <w:t>男性の家庭参画</w:t>
            </w:r>
            <w:r w:rsidR="00ED29B3">
              <w:rPr>
                <w:rFonts w:asciiTheme="minorEastAsia" w:eastAsiaTheme="minorEastAsia" w:hAnsiTheme="minorEastAsia" w:cs="ＭＳ ゴシック" w:hint="eastAsia"/>
              </w:rPr>
              <w:t>支援</w:t>
            </w:r>
          </w:p>
        </w:tc>
      </w:tr>
      <w:tr w:rsidR="00CE18A1" w:rsidRPr="00F64C48" w:rsidTr="00FD437F">
        <w:tc>
          <w:tcPr>
            <w:tcW w:w="389" w:type="dxa"/>
            <w:vMerge w:val="restart"/>
          </w:tcPr>
          <w:p w:rsidR="00CE18A1" w:rsidRPr="00F64C48" w:rsidRDefault="00CE18A1" w:rsidP="00A44AFF">
            <w:pPr>
              <w:rPr>
                <w:rFonts w:asciiTheme="minorEastAsia" w:hAnsiTheme="minorEastAsia" w:cs="ＭＳ ゴシック"/>
                <w:szCs w:val="21"/>
              </w:rPr>
            </w:pPr>
          </w:p>
        </w:tc>
        <w:tc>
          <w:tcPr>
            <w:tcW w:w="8253" w:type="dxa"/>
            <w:gridSpan w:val="2"/>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〈ファーストステージ〉</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17</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【男性の育児休業・介護休業の取得促進に向けた計画の策定】</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育児休業や介護休業について、男性労働者の取得を促進するため、具体的な目標を定めた実施計画があること</w:t>
            </w:r>
            <w:r>
              <w:rPr>
                <w:rFonts w:asciiTheme="minorEastAsia" w:hAnsiTheme="minorEastAsia" w:cs="ＭＳ ゴシック" w:hint="eastAsia"/>
                <w:szCs w:val="21"/>
              </w:rPr>
              <w:t>。</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18</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【男性の育児休業・介護休業の取得促進】</w:t>
            </w:r>
          </w:p>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次のいずれかの取組があること</w:t>
            </w:r>
            <w:r>
              <w:rPr>
                <w:rFonts w:asciiTheme="minorEastAsia" w:hAnsiTheme="minorEastAsia" w:cs="ＭＳ ゴシック" w:hint="eastAsia"/>
                <w:szCs w:val="21"/>
              </w:rPr>
              <w:t>。</w:t>
            </w:r>
          </w:p>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①育児・介護休業（関連休暇含む）の男性労働者の取得を促進するため、情報提供や研修等を行っている。</w:t>
            </w:r>
          </w:p>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②男性労働者の育児参加等への支援に積極的な管理職を増やすため、組織的に取り組んでいる。</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③その他これらに類する取組</w:t>
            </w:r>
          </w:p>
        </w:tc>
      </w:tr>
      <w:tr w:rsidR="00CE18A1" w:rsidRPr="00F64C48" w:rsidTr="00FD437F">
        <w:tc>
          <w:tcPr>
            <w:tcW w:w="389" w:type="dxa"/>
            <w:vMerge w:val="restart"/>
          </w:tcPr>
          <w:p w:rsidR="00CE18A1" w:rsidRPr="00F64C48" w:rsidRDefault="00CE18A1" w:rsidP="00A44AFF">
            <w:pPr>
              <w:rPr>
                <w:rFonts w:asciiTheme="minorEastAsia" w:hAnsiTheme="minorEastAsia" w:cs="ＭＳ ゴシック"/>
                <w:szCs w:val="21"/>
              </w:rPr>
            </w:pPr>
          </w:p>
        </w:tc>
        <w:tc>
          <w:tcPr>
            <w:tcW w:w="8253" w:type="dxa"/>
            <w:gridSpan w:val="2"/>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〈セカンドステージ〉</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19</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【男性の育児休業の取得実績】（日数）</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法令で定める育児休業を７日以上取得した男性労働者が３年以内にいること</w:t>
            </w:r>
            <w:r>
              <w:rPr>
                <w:rFonts w:asciiTheme="minorEastAsia" w:hAnsiTheme="minorEastAsia" w:cs="ＭＳ ゴシック" w:hint="eastAsia"/>
                <w:szCs w:val="21"/>
              </w:rPr>
              <w:t>。</w:t>
            </w:r>
          </w:p>
        </w:tc>
      </w:tr>
      <w:tr w:rsidR="00CE18A1" w:rsidRPr="00F64C48" w:rsidTr="00FD437F">
        <w:tc>
          <w:tcPr>
            <w:tcW w:w="389" w:type="dxa"/>
            <w:vMerge/>
          </w:tcPr>
          <w:p w:rsidR="00CE18A1" w:rsidRPr="00F64C48" w:rsidRDefault="00CE18A1" w:rsidP="00A44AFF">
            <w:pPr>
              <w:rPr>
                <w:rFonts w:asciiTheme="minorEastAsia" w:hAnsiTheme="minorEastAsia" w:cs="ＭＳ ゴシック"/>
                <w:szCs w:val="21"/>
              </w:rPr>
            </w:pPr>
          </w:p>
        </w:tc>
        <w:tc>
          <w:tcPr>
            <w:tcW w:w="565" w:type="dxa"/>
          </w:tcPr>
          <w:p w:rsidR="00CE18A1" w:rsidRPr="00F64C48" w:rsidRDefault="00CE18A1" w:rsidP="00A44AFF">
            <w:pPr>
              <w:rPr>
                <w:rFonts w:asciiTheme="minorEastAsia" w:hAnsiTheme="minorEastAsia" w:cs="ＭＳ ゴシック"/>
                <w:szCs w:val="21"/>
              </w:rPr>
            </w:pPr>
            <w:r w:rsidRPr="00F64C48">
              <w:rPr>
                <w:rFonts w:asciiTheme="minorEastAsia" w:hAnsiTheme="minorEastAsia" w:cs="ＭＳ ゴシック" w:hint="eastAsia"/>
                <w:szCs w:val="21"/>
              </w:rPr>
              <w:t>20</w:t>
            </w:r>
          </w:p>
        </w:tc>
        <w:tc>
          <w:tcPr>
            <w:tcW w:w="7688" w:type="dxa"/>
          </w:tcPr>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【男性の育児休業の取得実績】（比率）</w:t>
            </w:r>
          </w:p>
          <w:p w:rsidR="00FD437F" w:rsidRPr="00FD437F"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過去3年間の男性労働者の育児休業取得率が、7％以上であること。</w:t>
            </w:r>
          </w:p>
          <w:p w:rsidR="00CE18A1" w:rsidRPr="00F64C48" w:rsidRDefault="00FD437F" w:rsidP="00FD437F">
            <w:pPr>
              <w:rPr>
                <w:rFonts w:asciiTheme="minorEastAsia" w:hAnsiTheme="minorEastAsia" w:cs="ＭＳ ゴシック"/>
                <w:szCs w:val="21"/>
              </w:rPr>
            </w:pPr>
            <w:r w:rsidRPr="00FD437F">
              <w:rPr>
                <w:rFonts w:asciiTheme="minorEastAsia" w:hAnsiTheme="minorEastAsia" w:cs="ＭＳ ゴシック" w:hint="eastAsia"/>
                <w:szCs w:val="21"/>
              </w:rPr>
              <w:t>または、過去3年間で、男性労働者のうち、育児休業を取得した者および企業独自の育児を目的とした休暇制度を利用した者の割合が、合わせて15％以上であり、かつ、育児休業等を取得した者が1人以上いること。</w:t>
            </w:r>
          </w:p>
        </w:tc>
      </w:tr>
    </w:tbl>
    <w:p w:rsidR="00F3647E" w:rsidRPr="00CE18A1" w:rsidRDefault="00F3647E" w:rsidP="00F60812">
      <w:pPr>
        <w:jc w:val="left"/>
        <w:rPr>
          <w:rFonts w:asciiTheme="minorEastAsia" w:hAnsiTheme="minorEastAsia" w:cs="ＭＳ ゴシック"/>
        </w:rPr>
      </w:pPr>
    </w:p>
    <w:sectPr w:rsidR="00F3647E" w:rsidRPr="00CE18A1" w:rsidSect="000B6FC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339"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CB" w:rsidRDefault="000117CB" w:rsidP="00353E5F">
      <w:r>
        <w:separator/>
      </w:r>
    </w:p>
  </w:endnote>
  <w:endnote w:type="continuationSeparator" w:id="0">
    <w:p w:rsidR="000117CB" w:rsidRDefault="000117CB" w:rsidP="0035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0B" w:rsidRDefault="005B0E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0B" w:rsidRDefault="005B0E0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0B" w:rsidRDefault="005B0E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CB" w:rsidRDefault="000117CB" w:rsidP="00353E5F">
      <w:r>
        <w:separator/>
      </w:r>
    </w:p>
  </w:footnote>
  <w:footnote w:type="continuationSeparator" w:id="0">
    <w:p w:rsidR="000117CB" w:rsidRDefault="000117CB" w:rsidP="0035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0B" w:rsidRDefault="005B0E0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0B" w:rsidRDefault="005B0E0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0B" w:rsidRDefault="005B0E0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0614A"/>
    <w:multiLevelType w:val="hybridMultilevel"/>
    <w:tmpl w:val="BD60AF78"/>
    <w:lvl w:ilvl="0" w:tplc="249E1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3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47"/>
    <w:rsid w:val="00002F62"/>
    <w:rsid w:val="000117CB"/>
    <w:rsid w:val="00013A04"/>
    <w:rsid w:val="00027176"/>
    <w:rsid w:val="00056969"/>
    <w:rsid w:val="00056A41"/>
    <w:rsid w:val="00071DA5"/>
    <w:rsid w:val="000807BB"/>
    <w:rsid w:val="000826D3"/>
    <w:rsid w:val="00085D97"/>
    <w:rsid w:val="000B6FC5"/>
    <w:rsid w:val="000D1805"/>
    <w:rsid w:val="000E0BAB"/>
    <w:rsid w:val="000F137C"/>
    <w:rsid w:val="000F25E9"/>
    <w:rsid w:val="00115B16"/>
    <w:rsid w:val="00136CCF"/>
    <w:rsid w:val="00145A69"/>
    <w:rsid w:val="00150CB4"/>
    <w:rsid w:val="00197864"/>
    <w:rsid w:val="001B1F78"/>
    <w:rsid w:val="001C4631"/>
    <w:rsid w:val="001D3A3B"/>
    <w:rsid w:val="001E21EC"/>
    <w:rsid w:val="001E7849"/>
    <w:rsid w:val="00225C6F"/>
    <w:rsid w:val="0025116D"/>
    <w:rsid w:val="00266FAD"/>
    <w:rsid w:val="002874B5"/>
    <w:rsid w:val="002B2BEB"/>
    <w:rsid w:val="002B54B7"/>
    <w:rsid w:val="002C1F93"/>
    <w:rsid w:val="002C24BC"/>
    <w:rsid w:val="002C6278"/>
    <w:rsid w:val="002D6BBA"/>
    <w:rsid w:val="002E5707"/>
    <w:rsid w:val="00321F2C"/>
    <w:rsid w:val="00323875"/>
    <w:rsid w:val="00353E5F"/>
    <w:rsid w:val="003571C6"/>
    <w:rsid w:val="0036316D"/>
    <w:rsid w:val="0038236F"/>
    <w:rsid w:val="003875C7"/>
    <w:rsid w:val="003916D3"/>
    <w:rsid w:val="003B5CA1"/>
    <w:rsid w:val="003B7E69"/>
    <w:rsid w:val="003C3CA8"/>
    <w:rsid w:val="003D02A5"/>
    <w:rsid w:val="003E4CAE"/>
    <w:rsid w:val="003F0459"/>
    <w:rsid w:val="00432AB2"/>
    <w:rsid w:val="00434483"/>
    <w:rsid w:val="004A2FDA"/>
    <w:rsid w:val="004A7EDC"/>
    <w:rsid w:val="004B1BA6"/>
    <w:rsid w:val="005034E3"/>
    <w:rsid w:val="005378CC"/>
    <w:rsid w:val="005475AA"/>
    <w:rsid w:val="00585E3F"/>
    <w:rsid w:val="005B0E0B"/>
    <w:rsid w:val="005C0312"/>
    <w:rsid w:val="005D694B"/>
    <w:rsid w:val="0063449C"/>
    <w:rsid w:val="00641008"/>
    <w:rsid w:val="006411C1"/>
    <w:rsid w:val="006456B5"/>
    <w:rsid w:val="006A0488"/>
    <w:rsid w:val="006A1483"/>
    <w:rsid w:val="006E3241"/>
    <w:rsid w:val="00701113"/>
    <w:rsid w:val="00705B1B"/>
    <w:rsid w:val="00705D3E"/>
    <w:rsid w:val="0071645D"/>
    <w:rsid w:val="00734CD0"/>
    <w:rsid w:val="00784F47"/>
    <w:rsid w:val="00790776"/>
    <w:rsid w:val="007A7661"/>
    <w:rsid w:val="007B1405"/>
    <w:rsid w:val="007B507D"/>
    <w:rsid w:val="007C4DB6"/>
    <w:rsid w:val="007C6A67"/>
    <w:rsid w:val="007F4B36"/>
    <w:rsid w:val="0081223F"/>
    <w:rsid w:val="00851CE4"/>
    <w:rsid w:val="008563D3"/>
    <w:rsid w:val="008A03B1"/>
    <w:rsid w:val="008A62A9"/>
    <w:rsid w:val="008B7DD1"/>
    <w:rsid w:val="008C25FB"/>
    <w:rsid w:val="008C28ED"/>
    <w:rsid w:val="008F3B15"/>
    <w:rsid w:val="00900534"/>
    <w:rsid w:val="00907E7F"/>
    <w:rsid w:val="00913A1C"/>
    <w:rsid w:val="00964469"/>
    <w:rsid w:val="00966311"/>
    <w:rsid w:val="00991D21"/>
    <w:rsid w:val="0099397E"/>
    <w:rsid w:val="009957D7"/>
    <w:rsid w:val="009A0860"/>
    <w:rsid w:val="009B2DAF"/>
    <w:rsid w:val="009F7E1A"/>
    <w:rsid w:val="00A02CBD"/>
    <w:rsid w:val="00A1190B"/>
    <w:rsid w:val="00A206BB"/>
    <w:rsid w:val="00A24A79"/>
    <w:rsid w:val="00AC6395"/>
    <w:rsid w:val="00AE16A4"/>
    <w:rsid w:val="00AF05EC"/>
    <w:rsid w:val="00AF2ECF"/>
    <w:rsid w:val="00B05056"/>
    <w:rsid w:val="00B12B8C"/>
    <w:rsid w:val="00B314CD"/>
    <w:rsid w:val="00B3214D"/>
    <w:rsid w:val="00B40033"/>
    <w:rsid w:val="00B53757"/>
    <w:rsid w:val="00B53EB5"/>
    <w:rsid w:val="00B635A3"/>
    <w:rsid w:val="00B66D97"/>
    <w:rsid w:val="00BC7DF4"/>
    <w:rsid w:val="00BD4CFD"/>
    <w:rsid w:val="00C22664"/>
    <w:rsid w:val="00C27ED3"/>
    <w:rsid w:val="00C501B2"/>
    <w:rsid w:val="00C55940"/>
    <w:rsid w:val="00C602AB"/>
    <w:rsid w:val="00C743E4"/>
    <w:rsid w:val="00C94B60"/>
    <w:rsid w:val="00C955E9"/>
    <w:rsid w:val="00CA2266"/>
    <w:rsid w:val="00CD3B7F"/>
    <w:rsid w:val="00CE18A1"/>
    <w:rsid w:val="00CE49BF"/>
    <w:rsid w:val="00D1298E"/>
    <w:rsid w:val="00D94F75"/>
    <w:rsid w:val="00DC3347"/>
    <w:rsid w:val="00E35CE8"/>
    <w:rsid w:val="00E37A76"/>
    <w:rsid w:val="00E83425"/>
    <w:rsid w:val="00E85987"/>
    <w:rsid w:val="00E87BF4"/>
    <w:rsid w:val="00E90EA8"/>
    <w:rsid w:val="00EB73CF"/>
    <w:rsid w:val="00ED29B3"/>
    <w:rsid w:val="00ED2E08"/>
    <w:rsid w:val="00EE7B3E"/>
    <w:rsid w:val="00EF0790"/>
    <w:rsid w:val="00EF76F6"/>
    <w:rsid w:val="00F3647E"/>
    <w:rsid w:val="00F40DF5"/>
    <w:rsid w:val="00F46173"/>
    <w:rsid w:val="00F47C48"/>
    <w:rsid w:val="00F60812"/>
    <w:rsid w:val="00F6262F"/>
    <w:rsid w:val="00F64C48"/>
    <w:rsid w:val="00F97E86"/>
    <w:rsid w:val="00FB7132"/>
    <w:rsid w:val="00FC3B3B"/>
    <w:rsid w:val="00FC7ADD"/>
    <w:rsid w:val="00FD437F"/>
    <w:rsid w:val="00FF1F26"/>
    <w:rsid w:val="00FF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94B60"/>
    <w:rPr>
      <w:rFonts w:ascii="ＭＳ 明朝" w:eastAsia="ＭＳ 明朝" w:hAnsi="Courier New" w:cs="Courier New"/>
      <w:szCs w:val="21"/>
    </w:rPr>
  </w:style>
  <w:style w:type="character" w:customStyle="1" w:styleId="a4">
    <w:name w:val="書式なし (文字)"/>
    <w:basedOn w:val="a0"/>
    <w:link w:val="a3"/>
    <w:rsid w:val="00C94B60"/>
    <w:rPr>
      <w:rFonts w:ascii="ＭＳ 明朝" w:eastAsia="ＭＳ 明朝" w:hAnsi="Courier New" w:cs="Courier New"/>
      <w:szCs w:val="21"/>
    </w:rPr>
  </w:style>
  <w:style w:type="table" w:styleId="a5">
    <w:name w:val="Table Grid"/>
    <w:basedOn w:val="a1"/>
    <w:rsid w:val="00F64C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3E5F"/>
    <w:pPr>
      <w:tabs>
        <w:tab w:val="center" w:pos="4252"/>
        <w:tab w:val="right" w:pos="8504"/>
      </w:tabs>
      <w:snapToGrid w:val="0"/>
    </w:pPr>
  </w:style>
  <w:style w:type="character" w:customStyle="1" w:styleId="a7">
    <w:name w:val="ヘッダー (文字)"/>
    <w:basedOn w:val="a0"/>
    <w:link w:val="a6"/>
    <w:uiPriority w:val="99"/>
    <w:rsid w:val="00353E5F"/>
  </w:style>
  <w:style w:type="paragraph" w:styleId="a8">
    <w:name w:val="footer"/>
    <w:basedOn w:val="a"/>
    <w:link w:val="a9"/>
    <w:uiPriority w:val="99"/>
    <w:unhideWhenUsed/>
    <w:rsid w:val="00353E5F"/>
    <w:pPr>
      <w:tabs>
        <w:tab w:val="center" w:pos="4252"/>
        <w:tab w:val="right" w:pos="8504"/>
      </w:tabs>
      <w:snapToGrid w:val="0"/>
    </w:pPr>
  </w:style>
  <w:style w:type="character" w:customStyle="1" w:styleId="a9">
    <w:name w:val="フッター (文字)"/>
    <w:basedOn w:val="a0"/>
    <w:link w:val="a8"/>
    <w:uiPriority w:val="99"/>
    <w:rsid w:val="00353E5F"/>
  </w:style>
  <w:style w:type="paragraph" w:styleId="aa">
    <w:name w:val="Balloon Text"/>
    <w:basedOn w:val="a"/>
    <w:link w:val="ab"/>
    <w:uiPriority w:val="99"/>
    <w:semiHidden/>
    <w:unhideWhenUsed/>
    <w:rsid w:val="003C3C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3C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2021-12-23T09:08:00Z</dcterms:created>
  <dcterms:modified xsi:type="dcterms:W3CDTF">2022-03-16T04:37:00Z</dcterms:modified>
</cp:coreProperties>
</file>