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bookmarkStart w:id="0" w:name="_GoBack"/>
      <w:bookmarkEnd w:id="0"/>
      <w:r w:rsidRPr="00852EF9">
        <w:rPr>
          <w:rFonts w:asciiTheme="minorEastAsia" w:hAnsiTheme="minorEastAsia" w:hint="eastAsia"/>
          <w:szCs w:val="21"/>
        </w:rPr>
        <w:t>第</w:t>
      </w:r>
      <w:r w:rsidR="00861F14">
        <w:rPr>
          <w:rFonts w:asciiTheme="minorEastAsia" w:hAnsiTheme="minorEastAsia"/>
          <w:szCs w:val="21"/>
        </w:rPr>
        <w:t>2</w:t>
      </w:r>
      <w:r w:rsidR="00747BB1">
        <w:rPr>
          <w:rFonts w:asciiTheme="minorEastAsia" w:hAnsiTheme="minorEastAsia"/>
          <w:szCs w:val="21"/>
        </w:rPr>
        <w:t>6</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C82DB4">
        <w:rPr>
          <w:rFonts w:asciiTheme="minorEastAsia" w:hAnsiTheme="minorEastAsia" w:hint="eastAsia"/>
          <w:szCs w:val="21"/>
        </w:rPr>
        <w:t>８</w:t>
      </w:r>
      <w:r w:rsidR="00990A90" w:rsidRPr="00852EF9">
        <w:rPr>
          <w:rFonts w:asciiTheme="minorEastAsia" w:hAnsiTheme="minorEastAsia" w:hint="eastAsia"/>
          <w:szCs w:val="21"/>
        </w:rPr>
        <w:t>月</w:t>
      </w:r>
      <w:r w:rsidR="00C82DB4">
        <w:rPr>
          <w:rFonts w:asciiTheme="minorEastAsia" w:hAnsiTheme="minorEastAsia" w:hint="eastAsia"/>
          <w:szCs w:val="21"/>
        </w:rPr>
        <w:t>2</w:t>
      </w:r>
      <w:r w:rsidR="00747BB1">
        <w:rPr>
          <w:rFonts w:asciiTheme="minorEastAsia" w:hAnsiTheme="minorEastAsia"/>
          <w:szCs w:val="21"/>
        </w:rPr>
        <w:t>9</w:t>
      </w:r>
      <w:r w:rsidR="00990A90" w:rsidRPr="002A6524">
        <w:rPr>
          <w:rFonts w:asciiTheme="minorEastAsia" w:hAnsiTheme="minorEastAsia" w:hint="eastAsia"/>
          <w:szCs w:val="21"/>
        </w:rPr>
        <w:t>日（</w:t>
      </w:r>
      <w:r w:rsidR="00747BB1">
        <w:rPr>
          <w:rFonts w:asciiTheme="minorEastAsia" w:hAnsiTheme="minorEastAsia" w:hint="eastAsia"/>
          <w:szCs w:val="21"/>
        </w:rPr>
        <w:t>木</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C82DB4">
        <w:rPr>
          <w:rFonts w:hAnsi="ＭＳ 明朝"/>
        </w:rPr>
        <w:t>5</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0546AA">
        <w:rPr>
          <w:rFonts w:hAnsi="ＭＳ 明朝" w:hint="eastAsia"/>
        </w:rPr>
        <w:t>17</w:t>
      </w:r>
      <w:r w:rsidR="007F2F64" w:rsidRPr="000546AA">
        <w:rPr>
          <w:rFonts w:hAnsi="ＭＳ 明朝" w:hint="eastAsia"/>
        </w:rPr>
        <w:t>:</w:t>
      </w:r>
      <w:r w:rsidR="00747BB1">
        <w:rPr>
          <w:rFonts w:hAnsi="ＭＳ 明朝"/>
        </w:rPr>
        <w:t>3</w:t>
      </w:r>
      <w:r w:rsidR="009D5042" w:rsidRPr="000546AA">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r w:rsidR="0028296D">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0546AA" w:rsidRDefault="00300B5F" w:rsidP="00300B5F">
      <w:pPr>
        <w:spacing w:line="240" w:lineRule="auto"/>
        <w:ind w:left="208"/>
        <w:rPr>
          <w:rFonts w:asciiTheme="minorEastAsia" w:hAnsiTheme="minorEastAsia"/>
          <w:szCs w:val="21"/>
        </w:rPr>
      </w:pPr>
      <w:r w:rsidRPr="000546AA">
        <w:rPr>
          <w:rFonts w:asciiTheme="minorEastAsia" w:hAnsiTheme="minorEastAsia" w:hint="eastAsia"/>
          <w:szCs w:val="21"/>
        </w:rPr>
        <w:t>・報告書の内容（項目ごとの内容等）について検討した。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0546AA" w:rsidRDefault="00F3193D" w:rsidP="00F3193D">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clean"/>
  <w:defaultTabStop w:val="840"/>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0082"/>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5042"/>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764A-C622-4FC7-8E62-70FF84EC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2019-09-13T05:30:00Z</dcterms:created>
  <dcterms:modified xsi:type="dcterms:W3CDTF">2019-09-13T05:30:00Z</dcterms:modified>
</cp:coreProperties>
</file>