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934F2" w14:textId="7777777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令和４</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B35CE1">
        <w:rPr>
          <w:rFonts w:ascii="ＭＳ 明朝" w:hAnsi="ＭＳ 明朝" w:hint="eastAsia"/>
          <w:sz w:val="24"/>
        </w:rPr>
        <w:t>案</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1DF32688"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2991293E"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40E7F6C8"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34F42D36" w14:textId="77777777">
        <w:trPr>
          <w:cantSplit/>
          <w:trHeight w:val="5072"/>
        </w:trPr>
        <w:tc>
          <w:tcPr>
            <w:tcW w:w="4786" w:type="dxa"/>
            <w:tcBorders>
              <w:left w:val="single" w:sz="4" w:space="0" w:color="000000"/>
              <w:bottom w:val="single" w:sz="4" w:space="0" w:color="auto"/>
              <w:right w:val="single" w:sz="4" w:space="0" w:color="000000"/>
            </w:tcBorders>
          </w:tcPr>
          <w:p w14:paraId="1419FB03"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43BF6021"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1FD7BB1D"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32321B4E"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474E5C06"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242D201B"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7235820C"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09CB0930"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4D2C2F9B"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332B3DDA"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1CF0A74B" w14:textId="77777777" w:rsidR="00C97818" w:rsidRDefault="001477BF" w:rsidP="006E081B">
            <w:pPr>
              <w:ind w:firstLineChars="400" w:firstLine="720"/>
              <w:rPr>
                <w:sz w:val="18"/>
                <w:szCs w:val="18"/>
              </w:rPr>
            </w:pPr>
            <w:r w:rsidRPr="006266A1">
              <w:rPr>
                <w:rFonts w:hint="eastAsia"/>
                <w:sz w:val="18"/>
                <w:szCs w:val="18"/>
              </w:rPr>
              <w:t>こと。</w:t>
            </w:r>
          </w:p>
          <w:p w14:paraId="574EAC94" w14:textId="77777777" w:rsidR="009D7B9C" w:rsidRDefault="009D7B9C" w:rsidP="006E081B">
            <w:pPr>
              <w:ind w:firstLineChars="400" w:firstLine="720"/>
              <w:rPr>
                <w:sz w:val="18"/>
                <w:szCs w:val="18"/>
              </w:rPr>
            </w:pPr>
          </w:p>
          <w:p w14:paraId="003F9CC9"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236E7787"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5FEC4BD6"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w:t>
            </w:r>
            <w:r w:rsidR="00922FAB">
              <w:rPr>
                <w:rFonts w:ascii="ＭＳ 明朝" w:hAnsi="ＭＳ 明朝" w:hint="eastAsia"/>
                <w:spacing w:val="-2"/>
                <w:sz w:val="18"/>
                <w:szCs w:val="18"/>
              </w:rPr>
              <w:t>対策として、夏用の被服の改善を行ってきたところであるが</w:t>
            </w:r>
            <w:r w:rsidR="00057F5C">
              <w:rPr>
                <w:rFonts w:ascii="ＭＳ 明朝" w:hAnsi="ＭＳ 明朝" w:hint="eastAsia"/>
                <w:spacing w:val="-2"/>
                <w:sz w:val="18"/>
                <w:szCs w:val="18"/>
              </w:rPr>
              <w:t>、</w:t>
            </w:r>
            <w:r w:rsidR="00511EC1">
              <w:rPr>
                <w:rFonts w:ascii="ＭＳ 明朝" w:hAnsi="ＭＳ 明朝" w:hint="eastAsia"/>
                <w:spacing w:val="-2"/>
                <w:sz w:val="18"/>
                <w:szCs w:val="18"/>
              </w:rPr>
              <w:t>近年の夏の暑さについて認識しており</w:t>
            </w:r>
            <w:r w:rsidR="00922FAB">
              <w:rPr>
                <w:rFonts w:ascii="ＭＳ 明朝" w:hAnsi="ＭＳ 明朝" w:hint="eastAsia"/>
                <w:spacing w:val="-2"/>
                <w:sz w:val="18"/>
                <w:szCs w:val="18"/>
              </w:rPr>
              <w:t>、</w:t>
            </w:r>
            <w:r w:rsidRPr="00490947">
              <w:rPr>
                <w:rFonts w:ascii="ＭＳ 明朝" w:hAnsi="ＭＳ 明朝" w:hint="eastAsia"/>
                <w:spacing w:val="-2"/>
                <w:sz w:val="18"/>
                <w:szCs w:val="18"/>
              </w:rPr>
              <w:t>今後も必要に応じて検証を行うなど、引き続き協議してまいりたい。</w:t>
            </w:r>
          </w:p>
          <w:p w14:paraId="07263826"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6044B064"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462FDB12"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360884F2"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16774B22"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798A1B02"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423B1CC1"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70CAE9DB"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337A7D48"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7D24FD68"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0F1A7F36"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068EFAFC"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363F4A26" w14:textId="77777777" w:rsidR="00490947" w:rsidRPr="006266A1"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あるが、必要に応じて検証するなど、引き続き、業務実態に応じた作業服等の貸与を行ってまいりたい。</w:t>
            </w:r>
          </w:p>
          <w:p w14:paraId="350C5AEA"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3B34D4DA"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7FE10BC1" w14:textId="77777777" w:rsidR="00C97818" w:rsidRPr="006266A1" w:rsidRDefault="00C97818" w:rsidP="00C97818">
            <w:pPr>
              <w:rPr>
                <w:b/>
                <w:sz w:val="18"/>
                <w:szCs w:val="18"/>
              </w:rPr>
            </w:pPr>
            <w:r w:rsidRPr="006266A1">
              <w:rPr>
                <w:rFonts w:hint="eastAsia"/>
                <w:b/>
                <w:sz w:val="18"/>
                <w:szCs w:val="18"/>
              </w:rPr>
              <w:t>3</w:t>
            </w:r>
            <w:r w:rsidRPr="006266A1">
              <w:rPr>
                <w:rFonts w:hint="eastAsia"/>
                <w:b/>
                <w:sz w:val="18"/>
                <w:szCs w:val="18"/>
              </w:rPr>
              <w:t xml:space="preserve">．作業帽子について　</w:t>
            </w:r>
          </w:p>
          <w:p w14:paraId="778CF521"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75A4E34E"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51B10BF7"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024DA7A"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70DE2254"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14D7F092"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1887BB99"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74D6716E" w14:textId="77777777" w:rsidR="00C97818" w:rsidRPr="006266A1" w:rsidRDefault="00C97818" w:rsidP="00C97818">
            <w:pPr>
              <w:rPr>
                <w:b/>
                <w:sz w:val="18"/>
                <w:szCs w:val="18"/>
              </w:rPr>
            </w:pPr>
            <w:r w:rsidRPr="006266A1">
              <w:rPr>
                <w:rFonts w:hint="eastAsia"/>
                <w:b/>
                <w:sz w:val="18"/>
                <w:szCs w:val="18"/>
              </w:rPr>
              <w:lastRenderedPageBreak/>
              <w:t>4</w:t>
            </w:r>
            <w:r w:rsidRPr="006266A1">
              <w:rPr>
                <w:rFonts w:hint="eastAsia"/>
                <w:b/>
                <w:sz w:val="18"/>
                <w:szCs w:val="18"/>
              </w:rPr>
              <w:t xml:space="preserve">．作業靴について　</w:t>
            </w:r>
          </w:p>
          <w:p w14:paraId="61CA78AD"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2F847E75"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08F420C7"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189A36B5"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6F316B02"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55E320D7"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056FAE5A"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88068CC"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61411321"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6AFF9118"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2A34918F"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3DC0DE89"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2B260177"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6C1307F2"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3124C753"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7E7F2E0D"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696E2CAB"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42B48C24"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237109C3"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429038A9"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31DA756D"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24D79BC2"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CC6FD0">
              <w:rPr>
                <w:rFonts w:ascii="ＭＳ 明朝" w:hAnsi="ＭＳ 明朝" w:hint="eastAsia"/>
                <w:spacing w:val="-3"/>
                <w:sz w:val="18"/>
                <w:szCs w:val="18"/>
              </w:rPr>
              <w:t>日</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085E94F1"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70169AFC"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2E44B5E7"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1D03183E"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1AC5B447" w14:textId="77777777" w:rsidR="001477BF" w:rsidRPr="006266A1" w:rsidRDefault="001477BF" w:rsidP="009D7B9C">
            <w:pPr>
              <w:ind w:firstLineChars="400" w:firstLine="720"/>
              <w:rPr>
                <w:sz w:val="18"/>
                <w:szCs w:val="18"/>
              </w:rPr>
            </w:pPr>
            <w:r w:rsidRPr="006266A1">
              <w:rPr>
                <w:rFonts w:hint="eastAsia"/>
                <w:sz w:val="18"/>
                <w:szCs w:val="18"/>
              </w:rPr>
              <w:t>こと。</w:t>
            </w:r>
          </w:p>
          <w:p w14:paraId="2DA1D2A6"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41AEF64"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7C265B95"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2F848B36"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0ADD7029"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6C248AB1"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50E9922C" w14:textId="77777777" w:rsidR="0040407F" w:rsidRPr="006266A1" w:rsidRDefault="0040407F" w:rsidP="009D7B9C">
            <w:pPr>
              <w:ind w:firstLineChars="400" w:firstLine="720"/>
              <w:rPr>
                <w:sz w:val="18"/>
                <w:szCs w:val="18"/>
              </w:rPr>
            </w:pPr>
            <w:r w:rsidRPr="006266A1">
              <w:rPr>
                <w:rFonts w:hint="eastAsia"/>
                <w:sz w:val="18"/>
                <w:szCs w:val="18"/>
              </w:rPr>
              <w:t>ること。</w:t>
            </w:r>
          </w:p>
          <w:p w14:paraId="2B999527" w14:textId="77777777" w:rsidR="0040407F" w:rsidRPr="006266A1" w:rsidRDefault="0040407F"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3DFBB39D"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66946341" w14:textId="77777777" w:rsidR="00EB3DE8" w:rsidRPr="006E081B" w:rsidRDefault="00EB3DE8" w:rsidP="00F2060B">
      <w:pPr>
        <w:spacing w:line="340" w:lineRule="exact"/>
        <w:rPr>
          <w:rFonts w:ascii="ＭＳ 明朝" w:hAnsi="ＭＳ 明朝"/>
          <w:sz w:val="24"/>
        </w:rPr>
      </w:pPr>
    </w:p>
    <w:sectPr w:rsidR="00EB3DE8" w:rsidRPr="006E081B"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C287" w14:textId="77777777" w:rsidR="00983B79" w:rsidRDefault="00983B79" w:rsidP="00521258">
      <w:r>
        <w:separator/>
      </w:r>
    </w:p>
  </w:endnote>
  <w:endnote w:type="continuationSeparator" w:id="0">
    <w:p w14:paraId="015D61C5"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24C4E" w14:textId="77777777" w:rsidR="004146FD" w:rsidRDefault="004146FD">
    <w:pPr>
      <w:pStyle w:val="ad"/>
      <w:jc w:val="center"/>
    </w:pPr>
    <w:r>
      <w:fldChar w:fldCharType="begin"/>
    </w:r>
    <w:r>
      <w:instrText xml:space="preserve"> PAGE   \* MERGEFORMAT </w:instrText>
    </w:r>
    <w:r>
      <w:fldChar w:fldCharType="separate"/>
    </w:r>
    <w:r w:rsidR="00511EC1" w:rsidRPr="00511EC1">
      <w:rPr>
        <w:noProof/>
        <w:lang w:val="ja-JP"/>
      </w:rPr>
      <w:t>2</w:t>
    </w:r>
    <w:r>
      <w:fldChar w:fldCharType="end"/>
    </w:r>
  </w:p>
  <w:p w14:paraId="27C60343"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A5D4" w14:textId="77777777" w:rsidR="00983B79" w:rsidRDefault="00983B79" w:rsidP="00521258">
      <w:r>
        <w:separator/>
      </w:r>
    </w:p>
  </w:footnote>
  <w:footnote w:type="continuationSeparator" w:id="0">
    <w:p w14:paraId="78FD17D6"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85DFD"/>
    <w:rsid w:val="00092B34"/>
    <w:rsid w:val="00094804"/>
    <w:rsid w:val="000A0AAA"/>
    <w:rsid w:val="000D760F"/>
    <w:rsid w:val="000E023C"/>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76459"/>
    <w:rsid w:val="00490947"/>
    <w:rsid w:val="0049516D"/>
    <w:rsid w:val="00495E3F"/>
    <w:rsid w:val="004A39A7"/>
    <w:rsid w:val="004A3D91"/>
    <w:rsid w:val="004C03E9"/>
    <w:rsid w:val="004C2238"/>
    <w:rsid w:val="004D5DCA"/>
    <w:rsid w:val="004F16D1"/>
    <w:rsid w:val="00501B82"/>
    <w:rsid w:val="00502E34"/>
    <w:rsid w:val="00502FBE"/>
    <w:rsid w:val="00511EC1"/>
    <w:rsid w:val="00521258"/>
    <w:rsid w:val="00535041"/>
    <w:rsid w:val="0053761E"/>
    <w:rsid w:val="00537AC9"/>
    <w:rsid w:val="00550FCC"/>
    <w:rsid w:val="00556990"/>
    <w:rsid w:val="00570C70"/>
    <w:rsid w:val="00573EAB"/>
    <w:rsid w:val="005834CD"/>
    <w:rsid w:val="00585C5E"/>
    <w:rsid w:val="00586C37"/>
    <w:rsid w:val="005B1987"/>
    <w:rsid w:val="005D4DFA"/>
    <w:rsid w:val="005E0C9E"/>
    <w:rsid w:val="005E12B2"/>
    <w:rsid w:val="005E76C6"/>
    <w:rsid w:val="006055AB"/>
    <w:rsid w:val="006106BB"/>
    <w:rsid w:val="00625B7E"/>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20A8C"/>
    <w:rsid w:val="00826D5F"/>
    <w:rsid w:val="00827F7E"/>
    <w:rsid w:val="008316C0"/>
    <w:rsid w:val="00856FBB"/>
    <w:rsid w:val="00857C72"/>
    <w:rsid w:val="00865C9B"/>
    <w:rsid w:val="0087293F"/>
    <w:rsid w:val="008737FC"/>
    <w:rsid w:val="008836C7"/>
    <w:rsid w:val="008919D0"/>
    <w:rsid w:val="0089321D"/>
    <w:rsid w:val="00895A23"/>
    <w:rsid w:val="008B7FEA"/>
    <w:rsid w:val="008E22A2"/>
    <w:rsid w:val="008E7226"/>
    <w:rsid w:val="008F3D21"/>
    <w:rsid w:val="00906004"/>
    <w:rsid w:val="00911768"/>
    <w:rsid w:val="00915B10"/>
    <w:rsid w:val="0092265B"/>
    <w:rsid w:val="00922FA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55F2"/>
    <w:rsid w:val="00BB10ED"/>
    <w:rsid w:val="00BB2DB8"/>
    <w:rsid w:val="00BC02C9"/>
    <w:rsid w:val="00BC3FF5"/>
    <w:rsid w:val="00C04633"/>
    <w:rsid w:val="00C1092D"/>
    <w:rsid w:val="00C22030"/>
    <w:rsid w:val="00C537B3"/>
    <w:rsid w:val="00C817FD"/>
    <w:rsid w:val="00C82F0B"/>
    <w:rsid w:val="00C97818"/>
    <w:rsid w:val="00CA26CC"/>
    <w:rsid w:val="00CB2DFE"/>
    <w:rsid w:val="00CC6FD0"/>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C0FC1"/>
    <w:rsid w:val="00EC6AAE"/>
    <w:rsid w:val="00EF12FA"/>
    <w:rsid w:val="00EF68A4"/>
    <w:rsid w:val="00F2060B"/>
    <w:rsid w:val="00F35AD9"/>
    <w:rsid w:val="00F40B5C"/>
    <w:rsid w:val="00F54285"/>
    <w:rsid w:val="00F661ED"/>
    <w:rsid w:val="00F67AD7"/>
    <w:rsid w:val="00F738DD"/>
    <w:rsid w:val="00F73945"/>
    <w:rsid w:val="00F82CA3"/>
    <w:rsid w:val="00FA1A4A"/>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5D06A6E"/>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EE80-201D-4AF2-A604-D25A21B77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1794</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16</cp:revision>
  <cp:lastPrinted>2022-10-04T00:11:00Z</cp:lastPrinted>
  <dcterms:created xsi:type="dcterms:W3CDTF">2020-09-01T02:08:00Z</dcterms:created>
  <dcterms:modified xsi:type="dcterms:W3CDTF">2024-11-29T09:55:00Z</dcterms:modified>
</cp:coreProperties>
</file>